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600920">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F0164E" w14:textId="4C5AC65C" w:rsidR="00462B63" w:rsidRDefault="00A743E3"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 xml:space="preserve">Schedule </w:t>
                                </w:r>
                                <w:r w:rsidR="00794F79">
                                  <w:rPr>
                                    <w:caps w:val="0"/>
                                    <w:color w:val="323232" w:themeColor="text1"/>
                                  </w:rPr>
                                  <w:t>d</w:t>
                                </w:r>
                                <w:r w:rsidR="00F8436C" w:rsidRPr="00F00C3F">
                                  <w:rPr>
                                    <w:caps w:val="0"/>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1ABCE979" w:rsidR="00462B63" w:rsidRPr="00794F79" w:rsidRDefault="00A834BD" w:rsidP="00D15A65">
                                <w:pPr>
                                  <w:pStyle w:val="Heading2"/>
                                  <w:numPr>
                                    <w:ilvl w:val="0"/>
                                    <w:numId w:val="0"/>
                                  </w:numPr>
                                  <w:ind w:left="357" w:right="496"/>
                                  <w:jc w:val="right"/>
                                  <w:rPr>
                                    <w:color w:val="F79220"/>
                                  </w:rPr>
                                </w:pPr>
                                <w:r w:rsidRPr="00794F79">
                                  <w:rPr>
                                    <w:color w:val="F79220"/>
                                  </w:rPr>
                                  <w:t>D</w:t>
                                </w:r>
                                <w:r w:rsidR="00912B39" w:rsidRPr="00794F79">
                                  <w:rPr>
                                    <w:color w:val="F79220"/>
                                  </w:rPr>
                                  <w:t>ata</w:t>
                                </w:r>
                                <w:r w:rsidR="00794F79" w:rsidRPr="00794F79">
                                  <w:rPr>
                                    <w:color w:val="F79220"/>
                                  </w:rPr>
                                  <w:t xml:space="preserve"> c</w:t>
                                </w:r>
                                <w:r w:rsidR="00912B39" w:rsidRPr="00794F79">
                                  <w:rPr>
                                    <w:color w:val="F79220"/>
                                  </w:rPr>
                                  <w:t>entre</w:t>
                                </w:r>
                                <w:r w:rsidR="00794F79">
                                  <w:rPr>
                                    <w:color w:val="F79220"/>
                                  </w:rPr>
                                  <w:t xml:space="preserve"> h</w:t>
                                </w:r>
                                <w:r w:rsidR="00912B39" w:rsidRPr="00794F79">
                                  <w:rPr>
                                    <w:color w:val="F79220"/>
                                  </w:rPr>
                                  <w:t>osting</w:t>
                                </w:r>
                                <w:r w:rsidRPr="00794F79">
                                  <w:rPr>
                                    <w:color w:val="F79220"/>
                                  </w:rPr>
                                  <w:t xml:space="preserve"> - C</w:t>
                                </w:r>
                                <w:r w:rsidR="00912B39" w:rsidRPr="00794F79">
                                  <w:rPr>
                                    <w:color w:val="F79220"/>
                                  </w:rPr>
                                  <w:t>olocation</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21E4C43B" w:rsidR="00462B63" w:rsidRPr="00F00C3F" w:rsidRDefault="00A834BD" w:rsidP="00896AEC">
                                <w:pPr>
                                  <w:pStyle w:val="MainTitle"/>
                                  <w:ind w:right="496"/>
                                  <w:jc w:val="right"/>
                                  <w:rPr>
                                    <w:rStyle w:val="N4TitleChar"/>
                                    <w:rFonts w:cs="Arial"/>
                                    <w:caps/>
                                    <w:color w:val="323232" w:themeColor="text1"/>
                                    <w:sz w:val="20"/>
                                    <w:szCs w:val="20"/>
                                  </w:rPr>
                                </w:pPr>
                                <w:r>
                                  <w:rPr>
                                    <w:rStyle w:val="SubtleEmphasis"/>
                                    <w:rFonts w:cs="Arial"/>
                                    <w:caps w:val="0"/>
                                    <w:color w:val="323232" w:themeColor="text1"/>
                                  </w:rPr>
                                  <w:t>Node4 L</w:t>
                                </w:r>
                                <w:r w:rsidR="00F8436C" w:rsidRPr="00F00C3F">
                                  <w:rPr>
                                    <w:rStyle w:val="SubtleEmphasis"/>
                                    <w:rFonts w:cs="Arial"/>
                                    <w:caps w:val="0"/>
                                    <w:color w:val="323232" w:themeColor="text1"/>
                                  </w:rPr>
                                  <w:t>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3FB8B9C2" w:rsidR="00462B63" w:rsidRPr="00F00C3F" w:rsidRDefault="00462B63" w:rsidP="00A04071">
                                <w:pPr>
                                  <w:ind w:right="496"/>
                                  <w:jc w:val="right"/>
                                  <w:rPr>
                                    <w:rStyle w:val="Emphasis"/>
                                    <w:rFonts w:cs="Arial"/>
                                    <w:b w:val="0"/>
                                    <w:color w:val="323232" w:themeColor="text1"/>
                                  </w:rPr>
                                </w:pPr>
                                <w:r w:rsidRPr="00F00C3F">
                                  <w:rPr>
                                    <w:rStyle w:val="Emphasis"/>
                                    <w:rFonts w:cs="Arial"/>
                                    <w:b w:val="0"/>
                                    <w:color w:val="323232" w:themeColor="text1"/>
                                  </w:rPr>
                                  <w:t>2</w:t>
                                </w:r>
                                <w:r w:rsidR="00A834BD">
                                  <w:rPr>
                                    <w:rStyle w:val="Emphasis"/>
                                    <w:rFonts w:cs="Arial"/>
                                    <w:b w:val="0"/>
                                    <w:color w:val="323232" w:themeColor="text1"/>
                                  </w:rPr>
                                  <w:t>8/07/2017</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4C5AC65C" w:rsidR="00462B63" w:rsidRDefault="00A743E3" w:rsidP="00A04071">
                      <w:pPr>
                        <w:pStyle w:val="MainTitle"/>
                        <w:tabs>
                          <w:tab w:val="left" w:pos="4111"/>
                        </w:tabs>
                        <w:ind w:right="496"/>
                        <w:jc w:val="right"/>
                        <w:rPr>
                          <w:rStyle w:val="TitleChar"/>
                        </w:rPr>
                      </w:pPr>
                      <w:sdt>
                        <w:sdtPr>
                          <w:rPr>
                            <w:rFonts w:eastAsia="MS Mincho"/>
                            <w:caps w:val="0"/>
                            <w:color w:val="323232" w:themeColor="tex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aps/>
                            <w:spacing w:val="0"/>
                            <w:kern w:val="0"/>
                            <w:sz w:val="40"/>
                            <w:szCs w:val="40"/>
                            <w:lang w:val="en-GB" w:bidi="ar-SA"/>
                          </w:rPr>
                        </w:sdtEndPr>
                        <w:sdtContent>
                          <w:r w:rsidR="00F8436C" w:rsidRPr="00F00C3F">
                            <w:rPr>
                              <w:caps w:val="0"/>
                              <w:color w:val="323232" w:themeColor="text1"/>
                            </w:rPr>
                            <w:t xml:space="preserve">Schedule </w:t>
                          </w:r>
                          <w:r w:rsidR="00794F79">
                            <w:rPr>
                              <w:caps w:val="0"/>
                              <w:color w:val="323232" w:themeColor="text1"/>
                            </w:rPr>
                            <w:t>d</w:t>
                          </w:r>
                          <w:r w:rsidR="00F8436C" w:rsidRPr="00F00C3F">
                            <w:rPr>
                              <w:caps w:val="0"/>
                              <w:color w:val="323232" w:themeColor="text1"/>
                            </w:rPr>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1ABCE979" w:rsidR="00462B63" w:rsidRPr="00794F79" w:rsidRDefault="00A834BD" w:rsidP="00D15A65">
                          <w:pPr>
                            <w:pStyle w:val="Heading2"/>
                            <w:numPr>
                              <w:ilvl w:val="0"/>
                              <w:numId w:val="0"/>
                            </w:numPr>
                            <w:ind w:left="357" w:right="496"/>
                            <w:jc w:val="right"/>
                            <w:rPr>
                              <w:color w:val="F79220"/>
                            </w:rPr>
                          </w:pPr>
                          <w:r w:rsidRPr="00794F79">
                            <w:rPr>
                              <w:color w:val="F79220"/>
                            </w:rPr>
                            <w:t>D</w:t>
                          </w:r>
                          <w:r w:rsidR="00912B39" w:rsidRPr="00794F79">
                            <w:rPr>
                              <w:color w:val="F79220"/>
                            </w:rPr>
                            <w:t>ata</w:t>
                          </w:r>
                          <w:r w:rsidR="00794F79" w:rsidRPr="00794F79">
                            <w:rPr>
                              <w:color w:val="F79220"/>
                            </w:rPr>
                            <w:t xml:space="preserve"> c</w:t>
                          </w:r>
                          <w:r w:rsidR="00912B39" w:rsidRPr="00794F79">
                            <w:rPr>
                              <w:color w:val="F79220"/>
                            </w:rPr>
                            <w:t>entre</w:t>
                          </w:r>
                          <w:r w:rsidR="00794F79">
                            <w:rPr>
                              <w:color w:val="F79220"/>
                            </w:rPr>
                            <w:t xml:space="preserve"> h</w:t>
                          </w:r>
                          <w:r w:rsidR="00912B39" w:rsidRPr="00794F79">
                            <w:rPr>
                              <w:color w:val="F79220"/>
                            </w:rPr>
                            <w:t>osting</w:t>
                          </w:r>
                          <w:r w:rsidRPr="00794F79">
                            <w:rPr>
                              <w:color w:val="F79220"/>
                            </w:rPr>
                            <w:t xml:space="preserve"> - C</w:t>
                          </w:r>
                          <w:r w:rsidR="00912B39" w:rsidRPr="00794F79">
                            <w:rPr>
                              <w:color w:val="F79220"/>
                            </w:rPr>
                            <w:t>olocation</w:t>
                          </w:r>
                        </w:p>
                      </w:sdtContent>
                    </w:sdt>
                    <w:sdt>
                      <w:sdtPr>
                        <w:rPr>
                          <w:color w:val="323232" w:themeColor="text1"/>
                        </w:r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val="0"/>
                              <w:color w:val="323232" w:themeColor="text1"/>
                              <w:sz w:val="20"/>
                              <w:szCs w:val="20"/>
                            </w:rPr>
                          </w:pPr>
                          <w:r w:rsidRPr="00F00C3F">
                            <w:rPr>
                              <w:color w:val="323232" w:themeColor="text1"/>
                            </w:rPr>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21E4C43B" w:rsidR="00462B63" w:rsidRPr="00F00C3F" w:rsidRDefault="00A834BD" w:rsidP="00896AEC">
                          <w:pPr>
                            <w:pStyle w:val="MainTitle"/>
                            <w:ind w:right="496"/>
                            <w:jc w:val="right"/>
                            <w:rPr>
                              <w:rStyle w:val="N4TitleChar"/>
                              <w:rFonts w:cs="Arial"/>
                              <w:caps/>
                              <w:color w:val="323232" w:themeColor="text1"/>
                              <w:sz w:val="20"/>
                              <w:szCs w:val="20"/>
                            </w:rPr>
                          </w:pPr>
                          <w:r>
                            <w:rPr>
                              <w:rStyle w:val="SubtleEmphasis"/>
                              <w:rFonts w:cs="Arial"/>
                              <w:caps w:val="0"/>
                              <w:color w:val="323232" w:themeColor="text1"/>
                            </w:rPr>
                            <w:t>Node4 L</w:t>
                          </w:r>
                          <w:r w:rsidR="00F8436C" w:rsidRPr="00F00C3F">
                            <w:rPr>
                              <w:rStyle w:val="SubtleEmphasis"/>
                              <w:rFonts w:cs="Arial"/>
                              <w:caps w:val="0"/>
                              <w:color w:val="323232" w:themeColor="text1"/>
                            </w:rPr>
                            <w:t>imited</w:t>
                          </w:r>
                        </w:p>
                      </w:sdtContent>
                    </w:sdt>
                    <w:sdt>
                      <w:sdtPr>
                        <w:rPr>
                          <w:rStyle w:val="Emphasis"/>
                          <w:rFonts w:cs="Arial"/>
                          <w:b w:val="0"/>
                          <w:color w:val="323232" w:themeColor="text1"/>
                        </w:rPr>
                        <w:alias w:val="Publish Date"/>
                        <w:tag w:val=""/>
                        <w:id w:val="104108924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rPr>
                          <w:rStyle w:val="Emphasis"/>
                        </w:rPr>
                      </w:sdtEndPr>
                      <w:sdtContent>
                        <w:p w14:paraId="6F70918E" w14:textId="3FB8B9C2" w:rsidR="00462B63" w:rsidRPr="00F00C3F" w:rsidRDefault="00462B63" w:rsidP="00A04071">
                          <w:pPr>
                            <w:ind w:right="496"/>
                            <w:jc w:val="right"/>
                            <w:rPr>
                              <w:rStyle w:val="Emphasis"/>
                              <w:rFonts w:cs="Arial"/>
                              <w:b w:val="0"/>
                              <w:color w:val="323232" w:themeColor="text1"/>
                            </w:rPr>
                          </w:pPr>
                          <w:r w:rsidRPr="00F00C3F">
                            <w:rPr>
                              <w:rStyle w:val="Emphasis"/>
                              <w:rFonts w:cs="Arial"/>
                              <w:b w:val="0"/>
                              <w:color w:val="323232" w:themeColor="text1"/>
                            </w:rPr>
                            <w:t>2</w:t>
                          </w:r>
                          <w:r w:rsidR="00A834BD">
                            <w:rPr>
                              <w:rStyle w:val="Emphasis"/>
                              <w:rFonts w:cs="Arial"/>
                              <w:b w:val="0"/>
                              <w:color w:val="323232" w:themeColor="text1"/>
                            </w:rPr>
                            <w:t>8/07/2017</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04666143" w:rsidR="00600920" w:rsidRPr="00BC665D" w:rsidRDefault="00794F79" w:rsidP="00600920">
      <w:pPr>
        <w:pStyle w:val="Heading1"/>
        <w:rPr>
          <w:rFonts w:cs="Arial"/>
        </w:rPr>
      </w:pPr>
      <w:r>
        <w:rPr>
          <w:rFonts w:cs="Arial"/>
          <w:caps w:val="0"/>
        </w:rPr>
        <w:lastRenderedPageBreak/>
        <w:t>Schedule d</w:t>
      </w:r>
      <w:r w:rsidR="00A834BD">
        <w:rPr>
          <w:rFonts w:cs="Arial"/>
          <w:caps w:val="0"/>
        </w:rPr>
        <w:t>ocument</w:t>
      </w:r>
    </w:p>
    <w:p w14:paraId="30CD018C" w14:textId="0464E6B6" w:rsidR="00245ED4" w:rsidRPr="00A834BD" w:rsidRDefault="00794F79" w:rsidP="00A834BD">
      <w:pPr>
        <w:pStyle w:val="Heading2"/>
        <w:numPr>
          <w:ilvl w:val="0"/>
          <w:numId w:val="0"/>
        </w:numPr>
        <w:ind w:left="357" w:hanging="357"/>
      </w:pPr>
      <w:r>
        <w:t>Data centre h</w:t>
      </w:r>
      <w:r w:rsidR="00A834BD" w:rsidRPr="00A834BD">
        <w:t>osting - Colocation</w:t>
      </w:r>
    </w:p>
    <w:p w14:paraId="7BB9E637" w14:textId="1691C9CC" w:rsidR="005F5647" w:rsidRPr="00BC665D" w:rsidRDefault="00A834BD" w:rsidP="00A834BD">
      <w:r w:rsidRPr="00A834BD">
        <w:t>This schedule contains additional terms and conditions, service description &amp; Service Levels applicable to the Data Centre Hosting element of the Services and should be viewed with associated Order Form, Node4’s General Terms and Conditions and the Acceptable Use Policy.</w:t>
      </w:r>
    </w:p>
    <w:p w14:paraId="54D55D30" w14:textId="360698E6" w:rsidR="00E26340" w:rsidRPr="003B77B0" w:rsidRDefault="00A834BD" w:rsidP="00A834BD">
      <w:pPr>
        <w:pStyle w:val="Heading2"/>
      </w:pPr>
      <w:r>
        <w:t>Overview</w:t>
      </w:r>
    </w:p>
    <w:p w14:paraId="1804EE1E" w14:textId="2D61D3F8" w:rsidR="00F8436C" w:rsidRDefault="00A834BD" w:rsidP="00A834BD">
      <w:pPr>
        <w:rPr>
          <w:lang w:val="en-US"/>
        </w:rPr>
      </w:pPr>
      <w:r w:rsidRPr="00A834BD">
        <w:rPr>
          <w:lang w:val="en-US"/>
        </w:rPr>
        <w:t>The Node4 Data Centre Hosting Services provide the Customer with the ability to locate equipment within the Node4 data centre.</w:t>
      </w:r>
    </w:p>
    <w:p w14:paraId="1D0D9EB9" w14:textId="236D6414" w:rsidR="00A834BD" w:rsidRDefault="00A834BD" w:rsidP="00A834BD">
      <w:pPr>
        <w:pStyle w:val="Heading2"/>
        <w:rPr>
          <w:lang w:val="en-US"/>
        </w:rPr>
      </w:pPr>
      <w:r w:rsidRPr="00A834BD">
        <w:rPr>
          <w:lang w:val="en-US"/>
        </w:rPr>
        <w:t>Definitions</w:t>
      </w:r>
    </w:p>
    <w:p w14:paraId="6664D12D" w14:textId="77777777" w:rsidR="00A834BD" w:rsidRPr="00A834BD" w:rsidRDefault="00A834BD" w:rsidP="00A834BD">
      <w:pPr>
        <w:rPr>
          <w:lang w:val="en-US"/>
        </w:rPr>
      </w:pPr>
      <w:r w:rsidRPr="00A834BD">
        <w:rPr>
          <w:lang w:val="en-US"/>
        </w:rPr>
        <w:t>In addition to the definitions set out in the General Terms and Conditions, the following definitions shall apply to this Service Schedule:</w:t>
      </w:r>
    </w:p>
    <w:p w14:paraId="44B9A794" w14:textId="77777777" w:rsidR="00A834BD" w:rsidRPr="00A834BD" w:rsidRDefault="00A834BD" w:rsidP="00A834BD">
      <w:pPr>
        <w:rPr>
          <w:lang w:val="en-US"/>
        </w:rPr>
      </w:pPr>
      <w:r w:rsidRPr="00A834BD">
        <w:rPr>
          <w:b/>
          <w:lang w:val="en-US"/>
        </w:rPr>
        <w:t>“Bandwidth Fees”</w:t>
      </w:r>
      <w:r w:rsidRPr="00A834BD">
        <w:rPr>
          <w:lang w:val="en-US"/>
        </w:rPr>
        <w:t xml:space="preserve"> means charges payable by the Customer to Node4 as defined in the Order Form;</w:t>
      </w:r>
    </w:p>
    <w:p w14:paraId="215EB8C0" w14:textId="77777777" w:rsidR="00A834BD" w:rsidRPr="00A834BD" w:rsidRDefault="00A834BD" w:rsidP="00A834BD">
      <w:pPr>
        <w:rPr>
          <w:lang w:val="en-US"/>
        </w:rPr>
      </w:pPr>
      <w:r w:rsidRPr="00A834BD">
        <w:rPr>
          <w:b/>
          <w:lang w:val="en-US"/>
        </w:rPr>
        <w:t>“Customer Responsible Faults”</w:t>
      </w:r>
      <w:r w:rsidRPr="00A834BD">
        <w:rPr>
          <w:lang w:val="en-US"/>
        </w:rPr>
        <w:t xml:space="preserve"> means a fault which is attributable to Customer equipment, premises or power supplies, or the action of the Customer Personnel.  Such faults shall be deemed the responsibility of the Customer. Any downtime caused by such faults does not qualify for service credits or compensation. </w:t>
      </w:r>
    </w:p>
    <w:p w14:paraId="49E26B60" w14:textId="77777777" w:rsidR="00A834BD" w:rsidRPr="00A834BD" w:rsidRDefault="00A834BD" w:rsidP="00A834BD">
      <w:pPr>
        <w:rPr>
          <w:lang w:val="en-US"/>
        </w:rPr>
      </w:pPr>
      <w:r w:rsidRPr="00A834BD">
        <w:rPr>
          <w:b/>
          <w:lang w:val="en-US"/>
        </w:rPr>
        <w:t>“Infrastructure”</w:t>
      </w:r>
      <w:r w:rsidRPr="00A834BD">
        <w:rPr>
          <w:lang w:val="en-US"/>
        </w:rPr>
        <w:t xml:space="preserve"> means any Node4 Equipment and other facilities used by Node4 to provide the Services, including mains power, UPS, generator and air conditioning system but excludes switching equipment in relation to Node4 provided internet connectivity. </w:t>
      </w:r>
    </w:p>
    <w:p w14:paraId="0E3E229C" w14:textId="77777777" w:rsidR="00A834BD" w:rsidRPr="00A834BD" w:rsidRDefault="00A834BD" w:rsidP="00A834BD">
      <w:pPr>
        <w:rPr>
          <w:lang w:val="en-US"/>
        </w:rPr>
      </w:pPr>
      <w:r w:rsidRPr="00A834BD">
        <w:rPr>
          <w:b/>
          <w:lang w:val="en-US"/>
        </w:rPr>
        <w:t>“Fault Ticket Number”</w:t>
      </w:r>
      <w:r w:rsidRPr="00A834BD">
        <w:rPr>
          <w:lang w:val="en-US"/>
        </w:rPr>
        <w:t xml:space="preserve"> means the unique number issued when logging a fault with Node4. </w:t>
      </w:r>
    </w:p>
    <w:p w14:paraId="00C28142" w14:textId="77777777" w:rsidR="00A834BD" w:rsidRPr="00A834BD" w:rsidRDefault="00A834BD" w:rsidP="00A834BD">
      <w:pPr>
        <w:rPr>
          <w:lang w:val="en-US"/>
        </w:rPr>
      </w:pPr>
      <w:r w:rsidRPr="00A834BD">
        <w:rPr>
          <w:b/>
          <w:lang w:val="en-US"/>
        </w:rPr>
        <w:t>“Installation Fees”</w:t>
      </w:r>
      <w:r w:rsidRPr="00A834BD">
        <w:rPr>
          <w:lang w:val="en-US"/>
        </w:rPr>
        <w:t xml:space="preserve"> means charges payable by the Customer for the installation of data centre hosting element of the Services as provided in the Order Form; </w:t>
      </w:r>
    </w:p>
    <w:p w14:paraId="40E57880" w14:textId="77777777" w:rsidR="00A834BD" w:rsidRPr="00A834BD" w:rsidRDefault="00A834BD" w:rsidP="00A834BD">
      <w:pPr>
        <w:rPr>
          <w:lang w:val="en-US"/>
        </w:rPr>
      </w:pPr>
      <w:r w:rsidRPr="00A834BD">
        <w:rPr>
          <w:b/>
          <w:lang w:val="en-US"/>
        </w:rPr>
        <w:t>“Monthly Review Period”</w:t>
      </w:r>
      <w:r w:rsidRPr="00A834BD">
        <w:rPr>
          <w:lang w:val="en-US"/>
        </w:rPr>
        <w:t xml:space="preserve"> means the calendar monthly periods commencing on the 1st of each month during the Term, over which Service </w:t>
      </w:r>
      <w:r w:rsidRPr="00A834BD">
        <w:rPr>
          <w:lang w:val="en-US"/>
        </w:rPr>
        <w:t xml:space="preserve">performance measurements are calculated, provided that the first Monthly Review Period will commence following the Ready For Service Notification; </w:t>
      </w:r>
    </w:p>
    <w:p w14:paraId="3E4C90D5" w14:textId="77777777" w:rsidR="00A834BD" w:rsidRPr="00A834BD" w:rsidRDefault="00A834BD" w:rsidP="00A834BD">
      <w:pPr>
        <w:rPr>
          <w:lang w:val="en-US"/>
        </w:rPr>
      </w:pPr>
      <w:r w:rsidRPr="00A834BD">
        <w:rPr>
          <w:b/>
          <w:lang w:val="en-US"/>
        </w:rPr>
        <w:t>“Network Management System”</w:t>
      </w:r>
      <w:r w:rsidRPr="00A834BD">
        <w:rPr>
          <w:lang w:val="en-US"/>
        </w:rPr>
        <w:t xml:space="preserve"> means Node4’s network integrated fault management system; </w:t>
      </w:r>
    </w:p>
    <w:p w14:paraId="1A5D0184" w14:textId="0057E1F7" w:rsidR="00A834BD" w:rsidRPr="00A834BD" w:rsidRDefault="00A834BD" w:rsidP="00A834BD">
      <w:pPr>
        <w:rPr>
          <w:lang w:val="en-US"/>
        </w:rPr>
      </w:pPr>
      <w:r w:rsidRPr="00A834BD">
        <w:rPr>
          <w:b/>
          <w:lang w:val="en-US"/>
        </w:rPr>
        <w:t>“Node4 Network”</w:t>
      </w:r>
      <w:r w:rsidRPr="00A834BD">
        <w:rPr>
          <w:lang w:val="en-US"/>
        </w:rPr>
        <w:t xml:space="preserve"> means the network that provides internet connectivity provided by Node4. </w:t>
      </w:r>
    </w:p>
    <w:p w14:paraId="7D0FD906" w14:textId="77777777" w:rsidR="00A834BD" w:rsidRPr="00A834BD" w:rsidRDefault="00A834BD" w:rsidP="00A834BD">
      <w:pPr>
        <w:rPr>
          <w:lang w:val="en-US"/>
        </w:rPr>
      </w:pPr>
      <w:r w:rsidRPr="00A834BD">
        <w:rPr>
          <w:b/>
          <w:lang w:val="en-US"/>
        </w:rPr>
        <w:t>“Planned Outage”</w:t>
      </w:r>
      <w:r w:rsidRPr="00A834BD">
        <w:rPr>
          <w:lang w:val="en-US"/>
        </w:rPr>
        <w:t xml:space="preserve"> means a temporary outage in service required for maintenance and support purposes of which Node4 has given the Customer reasonable prior notice. Wherever reasonably practicable Node4 will agree the amount of outage with the Customer in advance of the required work. Any Planned Outage shall not be included in fault measurements and does not qualify for service credits or compensation. </w:t>
      </w:r>
    </w:p>
    <w:p w14:paraId="6405C499" w14:textId="77777777" w:rsidR="00A834BD" w:rsidRPr="00A834BD" w:rsidRDefault="00A834BD" w:rsidP="00A834BD">
      <w:pPr>
        <w:rPr>
          <w:lang w:val="en-US"/>
        </w:rPr>
      </w:pPr>
      <w:r w:rsidRPr="00A834BD">
        <w:rPr>
          <w:b/>
          <w:lang w:val="en-US"/>
        </w:rPr>
        <w:t>“Professional Service Fees”</w:t>
      </w:r>
      <w:r w:rsidRPr="00A834BD">
        <w:rPr>
          <w:lang w:val="en-US"/>
        </w:rPr>
        <w:t xml:space="preserve"> means the professional service charges detailed on the Order Form or otherwise agreed in writing between the parties; </w:t>
      </w:r>
    </w:p>
    <w:p w14:paraId="4C540084" w14:textId="77777777" w:rsidR="00A834BD" w:rsidRPr="00A834BD" w:rsidRDefault="00A834BD" w:rsidP="00A834BD">
      <w:pPr>
        <w:rPr>
          <w:lang w:val="en-US"/>
        </w:rPr>
      </w:pPr>
      <w:r w:rsidRPr="00A834BD">
        <w:rPr>
          <w:b/>
          <w:lang w:val="en-US"/>
        </w:rPr>
        <w:t>“Rental Fees”</w:t>
      </w:r>
      <w:r w:rsidRPr="00A834BD">
        <w:rPr>
          <w:lang w:val="en-US"/>
        </w:rPr>
        <w:t xml:space="preserve"> means charges payable by the Customer for rack space and other services related to the Data Centre Hosting Services as provided in the Order Form;</w:t>
      </w:r>
    </w:p>
    <w:p w14:paraId="4DA4A71D" w14:textId="77777777" w:rsidR="00A834BD" w:rsidRPr="00A834BD" w:rsidRDefault="00A834BD" w:rsidP="00A834BD">
      <w:pPr>
        <w:rPr>
          <w:lang w:val="en-US"/>
        </w:rPr>
      </w:pPr>
      <w:r w:rsidRPr="00A834BD">
        <w:rPr>
          <w:b/>
          <w:lang w:val="en-US"/>
        </w:rPr>
        <w:t>“Service Availability”</w:t>
      </w:r>
      <w:r w:rsidRPr="00A834BD">
        <w:rPr>
          <w:lang w:val="en-US"/>
        </w:rPr>
        <w:t xml:space="preserve"> means the time for which a Node4 Service is usable, expressed as a percentage of the total time in a given Service Measurement Period. The Node4 Service shall be deemed available for the purposes of calculating Service Availability if it is not usable due to an event outside Node4’s reasonable control, a Customer Responsible Fault, a Third Party Attributable Fault or is due to a Planned Outage. </w:t>
      </w:r>
    </w:p>
    <w:p w14:paraId="40ABD13C" w14:textId="77777777" w:rsidR="00A834BD" w:rsidRPr="00A834BD" w:rsidRDefault="00A834BD" w:rsidP="00A834BD">
      <w:pPr>
        <w:rPr>
          <w:lang w:val="en-US"/>
        </w:rPr>
      </w:pPr>
      <w:r w:rsidRPr="00A834BD">
        <w:rPr>
          <w:b/>
          <w:lang w:val="en-US"/>
        </w:rPr>
        <w:t>“Service Measurement Period”</w:t>
      </w:r>
      <w:r w:rsidRPr="00A834BD">
        <w:rPr>
          <w:lang w:val="en-US"/>
        </w:rPr>
        <w:t xml:space="preserve"> means a calendar month for which the Service is provided. </w:t>
      </w:r>
    </w:p>
    <w:p w14:paraId="1A86D280" w14:textId="77777777" w:rsidR="00A834BD" w:rsidRPr="00A834BD" w:rsidRDefault="00A834BD" w:rsidP="00A834BD">
      <w:pPr>
        <w:rPr>
          <w:lang w:val="en-US"/>
        </w:rPr>
      </w:pPr>
      <w:r w:rsidRPr="00A834BD">
        <w:rPr>
          <w:b/>
          <w:lang w:val="en-US"/>
        </w:rPr>
        <w:t>“Technical Support Centre”</w:t>
      </w:r>
      <w:r w:rsidRPr="00A834BD">
        <w:rPr>
          <w:lang w:val="en-US"/>
        </w:rPr>
        <w:t xml:space="preserve"> means Node4’s fault management centre, which operates the Node4 Network Management System; </w:t>
      </w:r>
    </w:p>
    <w:p w14:paraId="41463AF6" w14:textId="77777777" w:rsidR="00A834BD" w:rsidRPr="00A834BD" w:rsidRDefault="00A834BD" w:rsidP="00A834BD">
      <w:pPr>
        <w:rPr>
          <w:lang w:val="en-US"/>
        </w:rPr>
      </w:pPr>
      <w:r w:rsidRPr="00A834BD">
        <w:rPr>
          <w:b/>
          <w:lang w:val="en-US"/>
        </w:rPr>
        <w:t>“Third Party Attributable Faults”</w:t>
      </w:r>
      <w:r w:rsidRPr="00A834BD">
        <w:rPr>
          <w:lang w:val="en-US"/>
        </w:rPr>
        <w:t xml:space="preserve"> means a fault which is attributable to a third party. Such faults do not qualify for service credits or compensation. Node4 will use its reasonable endeavours to resolve </w:t>
      </w:r>
      <w:r w:rsidRPr="00A834BD">
        <w:rPr>
          <w:lang w:val="en-US"/>
        </w:rPr>
        <w:lastRenderedPageBreak/>
        <w:t>and rectify such Third Party Attributable Faults as soon as reasonably practicable.</w:t>
      </w:r>
    </w:p>
    <w:p w14:paraId="3E50CDA1" w14:textId="77777777" w:rsidR="00A834BD" w:rsidRPr="00A834BD" w:rsidRDefault="00A834BD" w:rsidP="00A834BD">
      <w:pPr>
        <w:rPr>
          <w:lang w:val="en-US"/>
        </w:rPr>
      </w:pPr>
      <w:r w:rsidRPr="00A834BD">
        <w:rPr>
          <w:b/>
          <w:lang w:val="en-US"/>
        </w:rPr>
        <w:t>“Time To Resolve Fault (TTRF)”</w:t>
      </w:r>
      <w:r w:rsidRPr="00A834BD">
        <w:rPr>
          <w:lang w:val="en-US"/>
        </w:rPr>
        <w:t xml:space="preserve"> means the length of time from the issue of the Fault Ticket Number to repair and resolution of the fault. </w:t>
      </w:r>
    </w:p>
    <w:p w14:paraId="60795BAB" w14:textId="3CED604C" w:rsidR="00A834BD" w:rsidRDefault="00A834BD" w:rsidP="00A834BD">
      <w:pPr>
        <w:rPr>
          <w:lang w:val="en-US"/>
        </w:rPr>
      </w:pPr>
      <w:r w:rsidRPr="00A834BD">
        <w:rPr>
          <w:lang w:val="en-US"/>
        </w:rPr>
        <w:t>All references in this Service Schedule to Service or Services shall be construed as references to the data centre hosting element of any Services provided by Node4 to the Customer.</w:t>
      </w:r>
    </w:p>
    <w:p w14:paraId="24F6FAC2" w14:textId="43568B41" w:rsidR="00A834BD" w:rsidRDefault="00794F79" w:rsidP="00A834BD">
      <w:pPr>
        <w:pStyle w:val="Heading2"/>
        <w:rPr>
          <w:lang w:val="en-US"/>
        </w:rPr>
      </w:pPr>
      <w:r>
        <w:rPr>
          <w:lang w:val="en-US"/>
        </w:rPr>
        <w:t>Specific t</w:t>
      </w:r>
      <w:r w:rsidR="00A834BD" w:rsidRPr="00A834BD">
        <w:rPr>
          <w:lang w:val="en-US"/>
        </w:rPr>
        <w:t>erms</w:t>
      </w:r>
    </w:p>
    <w:p w14:paraId="2778ECDF" w14:textId="2C1C6D09" w:rsidR="00A834BD" w:rsidRDefault="00A834BD" w:rsidP="00A834BD">
      <w:pPr>
        <w:rPr>
          <w:lang w:val="en-US"/>
        </w:rPr>
      </w:pPr>
      <w:r w:rsidRPr="00A834BD">
        <w:rPr>
          <w:lang w:val="en-US"/>
        </w:rPr>
        <w:t>The following terms and conditions shall apply when Node4 provides data centre hosting services to the Customer.</w:t>
      </w:r>
    </w:p>
    <w:p w14:paraId="598FC939" w14:textId="73609DF2" w:rsidR="00A834BD" w:rsidRDefault="00A834BD" w:rsidP="00A834BD">
      <w:pPr>
        <w:pStyle w:val="Heading3"/>
        <w:rPr>
          <w:lang w:val="en-US"/>
        </w:rPr>
      </w:pPr>
      <w:r>
        <w:rPr>
          <w:lang w:val="en-US"/>
        </w:rPr>
        <w:t xml:space="preserve"> </w:t>
      </w:r>
      <w:r w:rsidRPr="00A834BD">
        <w:rPr>
          <w:lang w:val="en-US"/>
        </w:rPr>
        <w:t>Insurance</w:t>
      </w:r>
    </w:p>
    <w:p w14:paraId="5C985283" w14:textId="4E6B3B0F" w:rsidR="00A834BD" w:rsidRDefault="00A834BD" w:rsidP="00A834BD">
      <w:pPr>
        <w:rPr>
          <w:lang w:val="en-US"/>
        </w:rPr>
      </w:pPr>
      <w:r w:rsidRPr="00A834BD">
        <w:rPr>
          <w:lang w:val="en-US"/>
        </w:rPr>
        <w:t>It is the Customer’s responsibility to ensure that any Customer equipment and materials located in the data centre is adequately insured against all risks (including without limitation; fire, theft and flood).</w:t>
      </w:r>
    </w:p>
    <w:p w14:paraId="02C58A8A" w14:textId="6DC73CC3" w:rsidR="00A834BD" w:rsidRDefault="00A834BD" w:rsidP="00A834BD">
      <w:pPr>
        <w:pStyle w:val="Heading2"/>
        <w:rPr>
          <w:lang w:val="en-US"/>
        </w:rPr>
      </w:pPr>
      <w:r w:rsidRPr="00A834BD">
        <w:rPr>
          <w:lang w:val="en-US"/>
        </w:rPr>
        <w:t>Fees</w:t>
      </w:r>
    </w:p>
    <w:p w14:paraId="15211D45" w14:textId="77777777" w:rsidR="00A834BD" w:rsidRPr="00A834BD" w:rsidRDefault="00A834BD" w:rsidP="00A834BD">
      <w:pPr>
        <w:rPr>
          <w:lang w:val="en-US"/>
        </w:rPr>
      </w:pPr>
      <w:r w:rsidRPr="00A834BD">
        <w:rPr>
          <w:lang w:val="en-US"/>
        </w:rPr>
        <w:t>Fees will commence when Ready For Service Notification is provided by Node4, this will follow the earlier of either the installation of equipment by Customer, handover of a Service hosted in the rack or notification from Node4 that the Service is available.</w:t>
      </w:r>
    </w:p>
    <w:p w14:paraId="0F72FF80" w14:textId="4455DB4E" w:rsidR="00A834BD" w:rsidRDefault="00A834BD" w:rsidP="00A834BD">
      <w:pPr>
        <w:rPr>
          <w:lang w:val="en-US"/>
        </w:rPr>
      </w:pPr>
      <w:r w:rsidRPr="00A834BD">
        <w:rPr>
          <w:lang w:val="en-US"/>
        </w:rPr>
        <w:t>Fees may comprise of any or all of the following</w:t>
      </w:r>
      <w:r>
        <w:rPr>
          <w:lang w:val="en-US"/>
        </w:rPr>
        <w:t>:</w:t>
      </w:r>
    </w:p>
    <w:p w14:paraId="0970B82A" w14:textId="02104579" w:rsidR="00A834BD" w:rsidRDefault="00A834BD" w:rsidP="00A834BD">
      <w:pPr>
        <w:pStyle w:val="Heading3"/>
        <w:rPr>
          <w:lang w:val="en-US"/>
        </w:rPr>
      </w:pPr>
      <w:r>
        <w:rPr>
          <w:lang w:val="en-US"/>
        </w:rPr>
        <w:t xml:space="preserve"> </w:t>
      </w:r>
      <w:r w:rsidR="00794F79">
        <w:rPr>
          <w:lang w:val="en-US"/>
        </w:rPr>
        <w:t>Installation f</w:t>
      </w:r>
      <w:r w:rsidRPr="00A834BD">
        <w:rPr>
          <w:lang w:val="en-US"/>
        </w:rPr>
        <w:t>ees</w:t>
      </w:r>
    </w:p>
    <w:p w14:paraId="73FBD281" w14:textId="66FC9783" w:rsidR="00A834BD" w:rsidRDefault="00A834BD" w:rsidP="00A834BD">
      <w:pPr>
        <w:rPr>
          <w:lang w:val="en-US"/>
        </w:rPr>
      </w:pPr>
      <w:r w:rsidRPr="00A834BD">
        <w:rPr>
          <w:lang w:val="en-US"/>
        </w:rPr>
        <w:t>Any applicable Installation Fees for the implementation of the data centre hosting service shall be detailed on the Order Form.</w:t>
      </w:r>
    </w:p>
    <w:p w14:paraId="034D7740" w14:textId="142EFD3E" w:rsidR="00A834BD" w:rsidRDefault="00A834BD" w:rsidP="00A834BD">
      <w:pPr>
        <w:pStyle w:val="Heading3"/>
      </w:pPr>
      <w:r>
        <w:t xml:space="preserve"> </w:t>
      </w:r>
      <w:r w:rsidR="00794F79">
        <w:t>Rental f</w:t>
      </w:r>
      <w:r w:rsidRPr="0065008E">
        <w:t>ees</w:t>
      </w:r>
    </w:p>
    <w:p w14:paraId="74F89500" w14:textId="2A20BEEC" w:rsidR="00A834BD" w:rsidRDefault="00A834BD" w:rsidP="00A834BD">
      <w:r>
        <w:t>Rental Fees are paid either monthly or annually in advance based on the rack space provided and any other related service and are identified on the Order Form.</w:t>
      </w:r>
    </w:p>
    <w:p w14:paraId="7F79197C" w14:textId="7F592EA8" w:rsidR="00A834BD" w:rsidRDefault="00794F79" w:rsidP="00A834BD">
      <w:pPr>
        <w:pStyle w:val="Heading3"/>
      </w:pPr>
      <w:r>
        <w:t xml:space="preserve"> Bandwidth f</w:t>
      </w:r>
      <w:r w:rsidR="00A834BD">
        <w:t>ees</w:t>
      </w:r>
    </w:p>
    <w:p w14:paraId="63D394AB" w14:textId="77777777" w:rsidR="00A834BD" w:rsidRDefault="00A834BD" w:rsidP="00A834BD">
      <w:r>
        <w:t xml:space="preserve">Bandwidth is charged based on either guaranteed bandwidth (per Mb), or data transferred (per Gb). Some Services have optional burst capacity and Services with this capability are charged using the 95th percentile method, as described in paragraph </w:t>
      </w:r>
      <w:r>
        <w:t xml:space="preserve">6.11 below. Some Services may include a bandwidth allowance, in which case this will be indicated on the Order Form. Bandwidth Fees are identified on the Order Form. </w:t>
      </w:r>
    </w:p>
    <w:p w14:paraId="46FB503E" w14:textId="4E951D32" w:rsidR="00A834BD" w:rsidRDefault="00794F79" w:rsidP="00A834BD">
      <w:pPr>
        <w:pStyle w:val="Heading3"/>
      </w:pPr>
      <w:r>
        <w:t xml:space="preserve"> Professional service f</w:t>
      </w:r>
      <w:r w:rsidR="00A834BD">
        <w:t>ees</w:t>
      </w:r>
    </w:p>
    <w:p w14:paraId="0529CC84" w14:textId="3242387C" w:rsidR="00A834BD" w:rsidRDefault="00A834BD" w:rsidP="00A834BD">
      <w:r>
        <w:t>Additional tasks undertaken by Node4 at the request of the Customer or activities undertaken by the Customer which require the remote support of Node4 personnel will be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A834BD" w:rsidRPr="00BC665D" w14:paraId="1326C9A6" w14:textId="77777777" w:rsidTr="00D758F0">
        <w:trPr>
          <w:trHeight w:val="631"/>
          <w:tblCellSpacing w:w="20" w:type="dxa"/>
        </w:trPr>
        <w:tc>
          <w:tcPr>
            <w:tcW w:w="1621" w:type="dxa"/>
            <w:shd w:val="clear" w:color="auto" w:fill="323232" w:themeFill="text1"/>
            <w:vAlign w:val="bottom"/>
          </w:tcPr>
          <w:p w14:paraId="2F336282" w14:textId="77777777" w:rsidR="00A834BD" w:rsidRPr="00713767" w:rsidRDefault="00A834BD" w:rsidP="00D758F0">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6156D6CA" w14:textId="77777777" w:rsidR="00A834BD" w:rsidRPr="00713767" w:rsidRDefault="00A834BD" w:rsidP="00D758F0">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5B7ADABF" w14:textId="77777777" w:rsidR="00A834BD" w:rsidRPr="00713767" w:rsidRDefault="00A834BD" w:rsidP="00D758F0">
            <w:pPr>
              <w:jc w:val="center"/>
              <w:rPr>
                <w:rFonts w:cs="Arial"/>
                <w:b/>
                <w:color w:val="FFFFFF"/>
                <w:sz w:val="14"/>
                <w:szCs w:val="16"/>
              </w:rPr>
            </w:pPr>
            <w:r w:rsidRPr="00713767">
              <w:rPr>
                <w:rFonts w:cs="Arial"/>
                <w:b/>
                <w:color w:val="FFFFFF"/>
                <w:sz w:val="14"/>
                <w:szCs w:val="16"/>
              </w:rPr>
              <w:t>Per Day</w:t>
            </w:r>
          </w:p>
        </w:tc>
      </w:tr>
      <w:tr w:rsidR="00A834BD" w:rsidRPr="00BC665D" w14:paraId="6B812DCA" w14:textId="77777777" w:rsidTr="00D758F0">
        <w:trPr>
          <w:tblCellSpacing w:w="20" w:type="dxa"/>
        </w:trPr>
        <w:tc>
          <w:tcPr>
            <w:tcW w:w="1621" w:type="dxa"/>
            <w:shd w:val="clear" w:color="auto" w:fill="ADAFAF" w:themeFill="text2"/>
          </w:tcPr>
          <w:p w14:paraId="5212AD3C" w14:textId="77777777" w:rsidR="00A834BD" w:rsidRPr="00713767" w:rsidRDefault="00A834BD" w:rsidP="00D758F0">
            <w:pPr>
              <w:rPr>
                <w:rFonts w:cs="Arial"/>
                <w:b/>
                <w:sz w:val="14"/>
                <w:szCs w:val="16"/>
              </w:rPr>
            </w:pPr>
            <w:r w:rsidRPr="00713767">
              <w:rPr>
                <w:rFonts w:cs="Arial"/>
                <w:b/>
                <w:sz w:val="14"/>
                <w:szCs w:val="16"/>
              </w:rPr>
              <w:t>Mon – Fri</w:t>
            </w:r>
          </w:p>
          <w:p w14:paraId="318CBF06" w14:textId="77777777" w:rsidR="00A834BD" w:rsidRPr="00713767" w:rsidRDefault="00A834BD" w:rsidP="00D758F0">
            <w:pPr>
              <w:rPr>
                <w:rFonts w:cs="Arial"/>
                <w:b/>
                <w:sz w:val="14"/>
                <w:szCs w:val="16"/>
              </w:rPr>
            </w:pPr>
            <w:r w:rsidRPr="00713767">
              <w:rPr>
                <w:rFonts w:cs="Arial"/>
                <w:b/>
                <w:sz w:val="14"/>
                <w:szCs w:val="16"/>
              </w:rPr>
              <w:t>Business Hours</w:t>
            </w:r>
          </w:p>
        </w:tc>
        <w:tc>
          <w:tcPr>
            <w:tcW w:w="1802" w:type="dxa"/>
            <w:shd w:val="clear" w:color="auto" w:fill="ADAFAF" w:themeFill="text2"/>
          </w:tcPr>
          <w:p w14:paraId="7F89160D" w14:textId="77777777" w:rsidR="00A834BD" w:rsidRPr="00713767" w:rsidRDefault="00A834BD" w:rsidP="00D758F0">
            <w:pPr>
              <w:jc w:val="center"/>
              <w:rPr>
                <w:rFonts w:cs="Arial"/>
                <w:sz w:val="14"/>
                <w:szCs w:val="16"/>
              </w:rPr>
            </w:pPr>
            <w:r w:rsidRPr="00713767">
              <w:rPr>
                <w:rFonts w:cs="Arial"/>
                <w:sz w:val="14"/>
                <w:szCs w:val="16"/>
              </w:rPr>
              <w:t>£60.00 Per Hour</w:t>
            </w:r>
          </w:p>
        </w:tc>
        <w:tc>
          <w:tcPr>
            <w:tcW w:w="1216" w:type="dxa"/>
            <w:shd w:val="clear" w:color="auto" w:fill="ADAFAF" w:themeFill="text2"/>
          </w:tcPr>
          <w:p w14:paraId="491FFEDD" w14:textId="77777777" w:rsidR="00A834BD" w:rsidRPr="00713767" w:rsidRDefault="00A834BD" w:rsidP="00D758F0">
            <w:pPr>
              <w:jc w:val="center"/>
              <w:rPr>
                <w:rFonts w:cs="Arial"/>
                <w:sz w:val="14"/>
                <w:szCs w:val="16"/>
              </w:rPr>
            </w:pPr>
            <w:r w:rsidRPr="00713767">
              <w:rPr>
                <w:rFonts w:cs="Arial"/>
                <w:sz w:val="14"/>
                <w:szCs w:val="16"/>
              </w:rPr>
              <w:t>£480.00</w:t>
            </w:r>
          </w:p>
        </w:tc>
      </w:tr>
      <w:tr w:rsidR="00A834BD" w:rsidRPr="00BC665D" w14:paraId="004CFF08" w14:textId="77777777" w:rsidTr="00D758F0">
        <w:trPr>
          <w:tblCellSpacing w:w="20" w:type="dxa"/>
        </w:trPr>
        <w:tc>
          <w:tcPr>
            <w:tcW w:w="1621" w:type="dxa"/>
          </w:tcPr>
          <w:p w14:paraId="55C67F7D" w14:textId="77777777" w:rsidR="00A834BD" w:rsidRPr="00713767" w:rsidRDefault="00A834BD" w:rsidP="00D758F0">
            <w:pPr>
              <w:jc w:val="left"/>
              <w:rPr>
                <w:rFonts w:cs="Arial"/>
                <w:b/>
                <w:sz w:val="14"/>
                <w:szCs w:val="16"/>
              </w:rPr>
            </w:pPr>
            <w:r w:rsidRPr="00713767">
              <w:rPr>
                <w:rFonts w:cs="Arial"/>
                <w:b/>
                <w:sz w:val="14"/>
                <w:szCs w:val="16"/>
              </w:rPr>
              <w:t>Mon – Fri</w:t>
            </w:r>
          </w:p>
          <w:p w14:paraId="3B15C7D6" w14:textId="77777777" w:rsidR="00A834BD" w:rsidRPr="00713767" w:rsidRDefault="00A834BD" w:rsidP="00D758F0">
            <w:pPr>
              <w:jc w:val="left"/>
              <w:rPr>
                <w:rFonts w:cs="Arial"/>
                <w:b/>
                <w:sz w:val="14"/>
                <w:szCs w:val="16"/>
              </w:rPr>
            </w:pPr>
            <w:r w:rsidRPr="00713767">
              <w:rPr>
                <w:rFonts w:cs="Arial"/>
                <w:b/>
                <w:sz w:val="14"/>
                <w:szCs w:val="16"/>
              </w:rPr>
              <w:t>Other Times</w:t>
            </w:r>
          </w:p>
        </w:tc>
        <w:tc>
          <w:tcPr>
            <w:tcW w:w="1802" w:type="dxa"/>
          </w:tcPr>
          <w:p w14:paraId="4DA02606" w14:textId="77777777" w:rsidR="00A834BD" w:rsidRPr="00713767" w:rsidRDefault="00A834BD" w:rsidP="00D758F0">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13DF8063" w14:textId="77777777" w:rsidR="00A834BD" w:rsidRPr="00713767" w:rsidRDefault="00A834BD" w:rsidP="00D758F0">
            <w:pPr>
              <w:jc w:val="center"/>
              <w:rPr>
                <w:rFonts w:cs="Arial"/>
                <w:sz w:val="14"/>
                <w:szCs w:val="16"/>
              </w:rPr>
            </w:pPr>
            <w:r w:rsidRPr="00713767">
              <w:rPr>
                <w:rFonts w:cs="Arial"/>
                <w:sz w:val="14"/>
                <w:szCs w:val="16"/>
              </w:rPr>
              <w:t>POA</w:t>
            </w:r>
          </w:p>
        </w:tc>
      </w:tr>
      <w:tr w:rsidR="00A834BD" w:rsidRPr="00BC665D" w14:paraId="457871D5" w14:textId="77777777" w:rsidTr="00D758F0">
        <w:trPr>
          <w:tblCellSpacing w:w="20" w:type="dxa"/>
        </w:trPr>
        <w:tc>
          <w:tcPr>
            <w:tcW w:w="1621" w:type="dxa"/>
            <w:shd w:val="clear" w:color="auto" w:fill="ADAFAF" w:themeFill="text2"/>
          </w:tcPr>
          <w:p w14:paraId="24E077B3" w14:textId="77777777" w:rsidR="00A834BD" w:rsidRPr="00713767" w:rsidRDefault="00A834BD" w:rsidP="00D758F0">
            <w:pPr>
              <w:rPr>
                <w:rFonts w:cs="Arial"/>
                <w:b/>
                <w:sz w:val="14"/>
                <w:szCs w:val="16"/>
              </w:rPr>
            </w:pPr>
            <w:r w:rsidRPr="00713767">
              <w:rPr>
                <w:rFonts w:cs="Arial"/>
                <w:b/>
                <w:sz w:val="14"/>
                <w:szCs w:val="16"/>
              </w:rPr>
              <w:t>Saturday</w:t>
            </w:r>
          </w:p>
        </w:tc>
        <w:tc>
          <w:tcPr>
            <w:tcW w:w="1802" w:type="dxa"/>
            <w:shd w:val="clear" w:color="auto" w:fill="ADAFAF" w:themeFill="text2"/>
          </w:tcPr>
          <w:p w14:paraId="525CE4CC" w14:textId="77777777" w:rsidR="00A834BD" w:rsidRPr="00713767" w:rsidRDefault="00A834BD" w:rsidP="00D758F0">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50C23502" w14:textId="77777777" w:rsidR="00A834BD" w:rsidRPr="00713767" w:rsidRDefault="00A834BD" w:rsidP="00D758F0">
            <w:pPr>
              <w:jc w:val="center"/>
              <w:rPr>
                <w:rFonts w:cs="Arial"/>
                <w:sz w:val="14"/>
                <w:szCs w:val="16"/>
              </w:rPr>
            </w:pPr>
            <w:r w:rsidRPr="00713767">
              <w:rPr>
                <w:rFonts w:cs="Arial"/>
                <w:sz w:val="14"/>
                <w:szCs w:val="16"/>
              </w:rPr>
              <w:t>POA</w:t>
            </w:r>
          </w:p>
        </w:tc>
      </w:tr>
      <w:tr w:rsidR="00A834BD" w:rsidRPr="00BC665D" w14:paraId="27FF74A2" w14:textId="77777777" w:rsidTr="00D758F0">
        <w:trPr>
          <w:tblCellSpacing w:w="20" w:type="dxa"/>
        </w:trPr>
        <w:tc>
          <w:tcPr>
            <w:tcW w:w="1621" w:type="dxa"/>
          </w:tcPr>
          <w:p w14:paraId="38B3C5A1" w14:textId="77777777" w:rsidR="00A834BD" w:rsidRPr="00713767" w:rsidRDefault="00A834BD" w:rsidP="00D758F0">
            <w:pPr>
              <w:rPr>
                <w:rFonts w:cs="Arial"/>
                <w:b/>
                <w:sz w:val="14"/>
                <w:szCs w:val="16"/>
              </w:rPr>
            </w:pPr>
            <w:r w:rsidRPr="00713767">
              <w:rPr>
                <w:rFonts w:cs="Arial"/>
                <w:b/>
                <w:sz w:val="14"/>
                <w:szCs w:val="16"/>
              </w:rPr>
              <w:t>Sunday</w:t>
            </w:r>
          </w:p>
        </w:tc>
        <w:tc>
          <w:tcPr>
            <w:tcW w:w="1802" w:type="dxa"/>
          </w:tcPr>
          <w:p w14:paraId="63B195BE" w14:textId="77777777" w:rsidR="00A834BD" w:rsidRPr="00713767" w:rsidRDefault="00A834BD" w:rsidP="00D758F0">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2ECA7536" w14:textId="77777777" w:rsidR="00A834BD" w:rsidRPr="00713767" w:rsidRDefault="00A834BD" w:rsidP="00D758F0">
            <w:pPr>
              <w:jc w:val="center"/>
              <w:rPr>
                <w:rFonts w:cs="Arial"/>
                <w:sz w:val="14"/>
                <w:szCs w:val="16"/>
              </w:rPr>
            </w:pPr>
            <w:r w:rsidRPr="00713767">
              <w:rPr>
                <w:rFonts w:cs="Arial"/>
                <w:sz w:val="14"/>
                <w:szCs w:val="16"/>
              </w:rPr>
              <w:t>POA</w:t>
            </w:r>
          </w:p>
        </w:tc>
      </w:tr>
    </w:tbl>
    <w:p w14:paraId="13EE11F3" w14:textId="77777777" w:rsidR="00A834BD" w:rsidRDefault="00A834BD" w:rsidP="00A834BD"/>
    <w:p w14:paraId="6D00C7A0" w14:textId="77777777" w:rsidR="00A834BD" w:rsidRDefault="00A834BD" w:rsidP="00A834BD">
      <w:r>
        <w:t xml:space="preserve">Time is charged by the hour. These rates are for a trained technician and are subject to an annual review by Node4. For advanced engineers please contact Node4 for pricing. </w:t>
      </w:r>
    </w:p>
    <w:p w14:paraId="51F73D62" w14:textId="36FC64B1" w:rsidR="00A834BD" w:rsidRDefault="00A834BD" w:rsidP="00A834BD">
      <w:pPr>
        <w:pStyle w:val="Heading3"/>
      </w:pPr>
      <w:r>
        <w:t xml:space="preserve"> </w:t>
      </w:r>
      <w:r w:rsidR="00794F79">
        <w:t>Additional f</w:t>
      </w:r>
      <w:r>
        <w:t>ees</w:t>
      </w:r>
    </w:p>
    <w:p w14:paraId="14FAC6F9" w14:textId="77777777" w:rsidR="00A834BD" w:rsidRDefault="00A834BD" w:rsidP="00A834BD">
      <w:r>
        <w:t xml:space="preserve">Additional Fees for cables, cages and other items will be identified on the Order Form if requested. </w:t>
      </w:r>
    </w:p>
    <w:p w14:paraId="0E2A206E" w14:textId="73B00749" w:rsidR="00A834BD" w:rsidRDefault="00A834BD" w:rsidP="00A834BD">
      <w:r>
        <w:t>If Customer exceeds the power capacity defined on the Order Form, Node4 will notify the Customer of the excess. If excess power capacity continues for more than 7 days from notification, then additional Fees will be applied on a pro rata basis until power capacity return to level defined on the Order Form.</w:t>
      </w:r>
    </w:p>
    <w:p w14:paraId="19BEBDD3" w14:textId="1E9B8CDE" w:rsidR="00A834BD" w:rsidRDefault="00794F79" w:rsidP="00A834BD">
      <w:pPr>
        <w:pStyle w:val="Heading2"/>
      </w:pPr>
      <w:r>
        <w:t>Customer r</w:t>
      </w:r>
      <w:r w:rsidR="00A834BD">
        <w:t xml:space="preserve">esponsibilities </w:t>
      </w:r>
    </w:p>
    <w:p w14:paraId="45850B8A" w14:textId="03CB61AB" w:rsidR="00A834BD" w:rsidRDefault="00794F79" w:rsidP="00A834BD">
      <w:pPr>
        <w:pStyle w:val="Heading3"/>
      </w:pPr>
      <w:r>
        <w:t xml:space="preserve"> Third p</w:t>
      </w:r>
      <w:r w:rsidR="00A834BD">
        <w:t>arties</w:t>
      </w:r>
    </w:p>
    <w:p w14:paraId="5594D6ED" w14:textId="1C187657" w:rsidR="00A834BD" w:rsidRDefault="00A834BD" w:rsidP="00A834BD">
      <w:r>
        <w:t xml:space="preserve">Node4 shall not be liable in respect of any contract, agreement or relationship that Customer may have with any third party. If a dispute arises between Customer and a third party involving Node4’s data centre hosting service, Node4 shall provide the </w:t>
      </w:r>
      <w:r>
        <w:lastRenderedPageBreak/>
        <w:t>Customer with reasonable information and assistance (to the extent that such is not adverse to Node4’s interests (at Customer’s expense)) in the resolution of such dispute.</w:t>
      </w:r>
    </w:p>
    <w:p w14:paraId="0BB4DDE0" w14:textId="34C2918A" w:rsidR="00A834BD" w:rsidRDefault="00794F79" w:rsidP="00A834BD">
      <w:pPr>
        <w:pStyle w:val="Heading3"/>
      </w:pPr>
      <w:r>
        <w:t xml:space="preserve"> Data back-up and tape r</w:t>
      </w:r>
      <w:r w:rsidR="00A834BD">
        <w:t>otation</w:t>
      </w:r>
    </w:p>
    <w:p w14:paraId="34B0A408" w14:textId="77777777" w:rsidR="00A834BD" w:rsidRDefault="00A834BD" w:rsidP="00A834BD">
      <w:r>
        <w:t xml:space="preserve">It is the Customer’s responsibility to ensure their data is backed-up. </w:t>
      </w:r>
    </w:p>
    <w:p w14:paraId="77918F95" w14:textId="6CB2DA56" w:rsidR="00A834BD" w:rsidRDefault="00794F79" w:rsidP="00A834BD">
      <w:pPr>
        <w:pStyle w:val="Heading2"/>
      </w:pPr>
      <w:r>
        <w:t>Provision of s</w:t>
      </w:r>
      <w:r w:rsidR="00A834BD">
        <w:t>ervices</w:t>
      </w:r>
    </w:p>
    <w:p w14:paraId="263E4EAD" w14:textId="77777777" w:rsidR="00A834BD" w:rsidRDefault="00A834BD" w:rsidP="00A834BD">
      <w:r>
        <w:t xml:space="preserve">The Node4 data centre hosting services provide the Customer with space, bandwidth, and other services within the Node4 data centres. This offers: </w:t>
      </w:r>
    </w:p>
    <w:p w14:paraId="17023897" w14:textId="7FC1FBBD" w:rsidR="00A834BD" w:rsidRDefault="00A834BD" w:rsidP="003B1747">
      <w:pPr>
        <w:pStyle w:val="ListParagraph"/>
      </w:pPr>
      <w:r>
        <w:t>Network Resiliency provided by fibre links (when using Node4’s network).</w:t>
      </w:r>
    </w:p>
    <w:p w14:paraId="612C4974" w14:textId="4FE378DF" w:rsidR="00A834BD" w:rsidRDefault="00A834BD" w:rsidP="003B1747">
      <w:pPr>
        <w:pStyle w:val="ListParagraph"/>
      </w:pPr>
      <w:r>
        <w:t>24/7 monitoring facilities of Node4 Network &amp; Infrastructure.</w:t>
      </w:r>
    </w:p>
    <w:p w14:paraId="350048AB" w14:textId="64A0DC8D" w:rsidR="00A834BD" w:rsidRDefault="00A834BD" w:rsidP="003B1747">
      <w:pPr>
        <w:pStyle w:val="ListParagraph"/>
      </w:pPr>
      <w:r>
        <w:t>UPS and Power Generators.</w:t>
      </w:r>
    </w:p>
    <w:p w14:paraId="6A584C73" w14:textId="0A39E963" w:rsidR="00A834BD" w:rsidRDefault="00A834BD" w:rsidP="003B1747">
      <w:pPr>
        <w:pStyle w:val="ListParagraph"/>
      </w:pPr>
      <w:r>
        <w:t>Fire Detection System with gas suppression.</w:t>
      </w:r>
    </w:p>
    <w:p w14:paraId="0E7B6C4B" w14:textId="6ABB3E79" w:rsidR="00A834BD" w:rsidRDefault="00A834BD" w:rsidP="003B1747">
      <w:pPr>
        <w:pStyle w:val="ListParagraph"/>
      </w:pPr>
      <w:r>
        <w:t>CCTV with recording.</w:t>
      </w:r>
    </w:p>
    <w:p w14:paraId="21A44B7C" w14:textId="2FF6344A" w:rsidR="00A834BD" w:rsidRDefault="00A834BD" w:rsidP="003B1747">
      <w:pPr>
        <w:pStyle w:val="ListParagraph"/>
      </w:pPr>
      <w:r>
        <w:t>Security controlled access system.</w:t>
      </w:r>
    </w:p>
    <w:p w14:paraId="1B27D987" w14:textId="36F09C34" w:rsidR="00A834BD" w:rsidRDefault="00A834BD" w:rsidP="00A834BD">
      <w:r>
        <w:t>Details of rack sizes, power sockets and power requirements will be provided on request.</w:t>
      </w:r>
    </w:p>
    <w:p w14:paraId="760BF815" w14:textId="429E93E8" w:rsidR="00A834BD" w:rsidRDefault="00794F79" w:rsidP="00A834BD">
      <w:pPr>
        <w:pStyle w:val="Heading3"/>
      </w:pPr>
      <w:r>
        <w:t xml:space="preserve"> Service i</w:t>
      </w:r>
      <w:r w:rsidR="00A834BD">
        <w:t>nstallation</w:t>
      </w:r>
      <w:r>
        <w:t xml:space="preserve"> and p</w:t>
      </w:r>
      <w:r w:rsidR="00A834BD">
        <w:t>rovisioning</w:t>
      </w:r>
    </w:p>
    <w:p w14:paraId="44392EB2" w14:textId="77777777" w:rsidR="00A834BD" w:rsidRDefault="00A834BD" w:rsidP="00A834BD">
      <w:r>
        <w:t>For Service installation and provision the Order Form should be completed. It is the Customer’s responsibility to install all equipment in the rack.</w:t>
      </w:r>
    </w:p>
    <w:p w14:paraId="60C1403F" w14:textId="77777777" w:rsidR="00A834BD" w:rsidRDefault="00A834BD" w:rsidP="00A834BD">
      <w:r>
        <w:t xml:space="preserve">All equipment should be rack-mountable with power and data cables to be provided by the Customer, unless identified on the Order Form.  Installation of Customer equipment is to take place during Business Hours, unless by prior arrangement and maybe subject to Professional Service Fees and identified on the Order Form. Where installation or maintenance is being carried out by a 3rd party supplier nominated by the Customer, work remains the responsibility of the Customer. All packaging is to be disposed of by the Customer. Packaging left for Node4 to dispose of will be charged unless agreed by prior arrangement. Node4 commit to notify the Customer in the event of any delays in providing the Services. </w:t>
      </w:r>
    </w:p>
    <w:p w14:paraId="70CAAC11" w14:textId="77777777" w:rsidR="00A834BD" w:rsidRDefault="00A834BD" w:rsidP="00A834BD">
      <w:r>
        <w:t>No changes to the fabric of the room are to be made, including drilling and external connectivity without the prior consent of Node4 as such work may affect the cooling and fire systems.</w:t>
      </w:r>
    </w:p>
    <w:p w14:paraId="2A37F9B2" w14:textId="77777777" w:rsidR="00A834BD" w:rsidRDefault="00A834BD" w:rsidP="00A834BD">
      <w:r>
        <w:t>Any cabling must be planned with and approved by Node4.  Our standard practice is to run data cabling inside the room, not under the floor void.</w:t>
      </w:r>
    </w:p>
    <w:p w14:paraId="4072DC55" w14:textId="00977A7C" w:rsidR="00A834BD" w:rsidRDefault="00A834BD" w:rsidP="00A834BD">
      <w:pPr>
        <w:pStyle w:val="Heading3"/>
      </w:pPr>
      <w:r>
        <w:t xml:space="preserve"> Power </w:t>
      </w:r>
    </w:p>
    <w:p w14:paraId="117B8B56" w14:textId="77777777" w:rsidR="00A834BD" w:rsidRDefault="00A834BD" w:rsidP="00A834BD">
      <w:r>
        <w:t xml:space="preserve">Power and Power sockets are provided as defined on the Order Form. Additional Power (up to a maximum current draw of 32A per single phase supply), A+B feeds, power sockets, remote power strips (enables remote reboots) can be provided at an additional Fee. </w:t>
      </w:r>
    </w:p>
    <w:p w14:paraId="4B9D2FA5" w14:textId="7E2335E1" w:rsidR="00A834BD" w:rsidRDefault="00794F79" w:rsidP="00A834BD">
      <w:pPr>
        <w:pStyle w:val="Heading3"/>
      </w:pPr>
      <w:r>
        <w:t xml:space="preserve"> Site s</w:t>
      </w:r>
      <w:r w:rsidR="00A834BD">
        <w:t xml:space="preserve">ecurity </w:t>
      </w:r>
    </w:p>
    <w:p w14:paraId="683998C4" w14:textId="77777777" w:rsidR="00A834BD" w:rsidRDefault="00A834BD" w:rsidP="00A834BD">
      <w:r>
        <w:t xml:space="preserve">The following security measures are in place: </w:t>
      </w:r>
    </w:p>
    <w:p w14:paraId="5E3F852D" w14:textId="3A60C580" w:rsidR="00A834BD" w:rsidRDefault="00A834BD" w:rsidP="003B1747">
      <w:pPr>
        <w:pStyle w:val="ListParagraph"/>
      </w:pPr>
      <w:r>
        <w:t>Perimeter fencing with electric gates</w:t>
      </w:r>
    </w:p>
    <w:p w14:paraId="580D72EF" w14:textId="77777777" w:rsidR="00A834BD" w:rsidRDefault="00A834BD" w:rsidP="003B1747">
      <w:pPr>
        <w:pStyle w:val="ListParagraph"/>
      </w:pPr>
      <w:r>
        <w:t>Access via photo swipe card system</w:t>
      </w:r>
    </w:p>
    <w:p w14:paraId="5144FF9F" w14:textId="46445DDF" w:rsidR="00A834BD" w:rsidRDefault="00A834BD" w:rsidP="003B1747">
      <w:pPr>
        <w:pStyle w:val="ListParagraph"/>
      </w:pPr>
      <w:r>
        <w:t>CCTV with 24 hour recording both external and internal to the data centre</w:t>
      </w:r>
    </w:p>
    <w:p w14:paraId="0F029DFB" w14:textId="5E94F405" w:rsidR="00A834BD" w:rsidRDefault="00A834BD" w:rsidP="003B1747">
      <w:pPr>
        <w:pStyle w:val="ListParagraph"/>
      </w:pPr>
      <w:r>
        <w:t>Access Control Procedure</w:t>
      </w:r>
    </w:p>
    <w:p w14:paraId="72735CA7" w14:textId="4101D4EB" w:rsidR="00A834BD" w:rsidRDefault="00794F79" w:rsidP="00A834BD">
      <w:pPr>
        <w:pStyle w:val="Heading3"/>
      </w:pPr>
      <w:r>
        <w:t xml:space="preserve"> Data centre a</w:t>
      </w:r>
      <w:r w:rsidR="00A834BD">
        <w:t>ccess</w:t>
      </w:r>
    </w:p>
    <w:p w14:paraId="4EB674E5" w14:textId="77777777" w:rsidR="00A834BD" w:rsidRDefault="00A834BD" w:rsidP="00A834BD">
      <w:r>
        <w:t xml:space="preserve">Customers may access the data centre by appointment only and by adhering to the procedure outlined in the Data Centre Access Process document which is available on request or can be found at www.node4.co.uk. Access to the data centre is 24 hours a day, 7 days a week. </w:t>
      </w:r>
    </w:p>
    <w:p w14:paraId="48AF4357" w14:textId="52AE4F4F" w:rsidR="00A834BD" w:rsidRDefault="00794F79" w:rsidP="00A834BD">
      <w:pPr>
        <w:pStyle w:val="Heading3"/>
      </w:pPr>
      <w:r>
        <w:t xml:space="preserve"> Remote r</w:t>
      </w:r>
      <w:r w:rsidR="00A834BD">
        <w:t>eboots</w:t>
      </w:r>
    </w:p>
    <w:p w14:paraId="06B74BC2" w14:textId="77777777" w:rsidR="00A834BD" w:rsidRDefault="00A834BD" w:rsidP="00A834BD">
      <w:r>
        <w:t xml:space="preserve">Node4 can reboot Customer hardware that is located in the data centre. Remote reboots are carried out within 30 minutes where resource is available in line with the Service Level. Requests for reboots should be made via the Technical Support Centre. </w:t>
      </w:r>
    </w:p>
    <w:p w14:paraId="40E1FB36" w14:textId="7F7D1E3F" w:rsidR="00A834BD" w:rsidRDefault="00794F79" w:rsidP="00A834BD">
      <w:pPr>
        <w:pStyle w:val="Heading3"/>
      </w:pPr>
      <w:r>
        <w:t xml:space="preserve"> Remote s</w:t>
      </w:r>
      <w:r w:rsidR="00A834BD">
        <w:t>upport</w:t>
      </w:r>
    </w:p>
    <w:p w14:paraId="386F2720" w14:textId="6A7D7F73" w:rsidR="00A834BD" w:rsidRDefault="00A834BD" w:rsidP="00A834BD">
      <w:r>
        <w:t>Customers can request checks and minor changes to their collocated hardware from our support team. For example, this can include checking the status of equipment, warning lights, hot swap of HDD/PSU (customer provided), checking link lights</w:t>
      </w:r>
      <w:r w:rsidR="00912B39">
        <w:t>,</w:t>
      </w:r>
      <w:r>
        <w:t xml:space="preserve"> etc. This is on a fair use basis, as a general rule 1 hour per customer per month.</w:t>
      </w:r>
    </w:p>
    <w:p w14:paraId="1B3CCEAB" w14:textId="77777777" w:rsidR="00A834BD" w:rsidRDefault="00A834BD" w:rsidP="00A834BD">
      <w:r>
        <w:t>Requests not covered under remote hands as standard are effort above 1 hour per month, installing or uninstalling of equipment, or removing servers to install RAM these are chargeable and subject to the Professional Services Fees in 4.4.</w:t>
      </w:r>
    </w:p>
    <w:p w14:paraId="06D13A03" w14:textId="28679755" w:rsidR="00A834BD" w:rsidRDefault="00794F79" w:rsidP="00A834BD">
      <w:pPr>
        <w:pStyle w:val="Heading3"/>
      </w:pPr>
      <w:r>
        <w:lastRenderedPageBreak/>
        <w:t xml:space="preserve"> Data back-up and tape r</w:t>
      </w:r>
      <w:r w:rsidR="00A834BD">
        <w:t>otation</w:t>
      </w:r>
    </w:p>
    <w:p w14:paraId="23AB27EF" w14:textId="77777777" w:rsidR="00A834BD" w:rsidRDefault="00A834BD" w:rsidP="00A834BD">
      <w:r>
        <w:t>Node4 provide a SAN back-up service at an additional cost. Where Customers are backing up onto tape devices, Node4 provide a tape rotation service on daily or weekly basis for an additional Fee. Tapes are stored on-site within a fire-proof safe. Options are available for tapes to be taken off-site.</w:t>
      </w:r>
    </w:p>
    <w:p w14:paraId="7827C10E" w14:textId="2BC7A8B7" w:rsidR="00A834BD" w:rsidRDefault="00A834BD" w:rsidP="00A834BD">
      <w:pPr>
        <w:pStyle w:val="Heading3"/>
      </w:pPr>
      <w:r>
        <w:t xml:space="preserve"> Bandwidth</w:t>
      </w:r>
    </w:p>
    <w:p w14:paraId="28262FFF" w14:textId="77777777" w:rsidR="00A834BD" w:rsidRDefault="00A834BD" w:rsidP="00A834BD">
      <w:r>
        <w:t xml:space="preserve">Bandwidth to the internet is available on either guaranteed bandwidth (per Mb), or data transferred (per Gb). Some services have optional burst capacity and services with this capability are charged using the 95th percentile method using the following calculation: </w:t>
      </w:r>
    </w:p>
    <w:p w14:paraId="5C0C117E" w14:textId="77777777" w:rsidR="00A834BD" w:rsidRDefault="00A834BD" w:rsidP="00A834BD">
      <w:r>
        <w:t xml:space="preserve">Node4 record the inbound and outbound data transfer for the Customer’s connection at 5 minute intervals over a 1 month period. We do this by measuring the data transferred divided by the sampling length in seconds to obtain a MBit/Sec value for each 5 minute interval. At the end of the month we order the data collected from highest to lowest and discard the top 5 percent of the readings. Therefore in a 30 day billing cycle, the top 5% (36 hours) of peak traffic are not taken into account. This equates to 65 minutes per day. Node4 then take the remaining data set and use highest measurement as the billable utilisation for that month. We calculate the 95th percentile for inbound and outbound traffic separately, and take the higher of these two values as the billable utilisation. This value is then rounded to the nearest Mbit/Sec for billing purposes. </w:t>
      </w:r>
    </w:p>
    <w:p w14:paraId="5607F008" w14:textId="77777777" w:rsidR="00A834BD" w:rsidRDefault="00A834BD" w:rsidP="00A834BD">
      <w:r>
        <w:t xml:space="preserve">All internet usage is subject to the Acceptable Use Policy </w:t>
      </w:r>
    </w:p>
    <w:p w14:paraId="099033E8" w14:textId="43E42525" w:rsidR="00A834BD" w:rsidRDefault="00794F79" w:rsidP="00A834BD">
      <w:pPr>
        <w:pStyle w:val="Heading3"/>
      </w:pPr>
      <w:r>
        <w:t xml:space="preserve"> IP a</w:t>
      </w:r>
      <w:r w:rsidR="00A834BD">
        <w:t>ddresses</w:t>
      </w:r>
    </w:p>
    <w:p w14:paraId="7C240C51" w14:textId="77777777" w:rsidR="00A834BD" w:rsidRDefault="00A834BD" w:rsidP="00A834BD">
      <w:r>
        <w:t xml:space="preserve">The number of IP addresses assigned will identified on the Order Form. IP address usage is monitored and reported to RIPE database. The use of IP addresses must be justified. It is the Customer’s responsibility to use their assigned IP addresses. Use of non-assigned IP addresses will result in immediate disconnection from the Node4 Network. </w:t>
      </w:r>
    </w:p>
    <w:p w14:paraId="0DF972BE" w14:textId="585D7ECC" w:rsidR="00A834BD" w:rsidRDefault="00794F79" w:rsidP="00A834BD">
      <w:pPr>
        <w:pStyle w:val="Heading3"/>
      </w:pPr>
      <w:r>
        <w:t>Internet s</w:t>
      </w:r>
      <w:r w:rsidR="00A834BD">
        <w:t xml:space="preserve">ecurity </w:t>
      </w:r>
    </w:p>
    <w:p w14:paraId="35B3AB7B" w14:textId="77777777" w:rsidR="00A834BD" w:rsidRDefault="00A834BD" w:rsidP="00A834BD">
      <w:r>
        <w:t xml:space="preserve">Node4 provide colocation Customers with public internet access. Internet Security and Virus Protection is the responsibility of the Customer. All internet usage is subject to the Acceptable Use Policy.  Firewall and virus protection options are </w:t>
      </w:r>
      <w:r>
        <w:t>available from Node4 on request at an additional Fee.</w:t>
      </w:r>
    </w:p>
    <w:p w14:paraId="48C659F6" w14:textId="393E7BE9" w:rsidR="00A834BD" w:rsidRDefault="00794F79" w:rsidP="00A834BD">
      <w:pPr>
        <w:pStyle w:val="Heading3"/>
      </w:pPr>
      <w:r>
        <w:t>Professional s</w:t>
      </w:r>
      <w:r w:rsidR="00A834BD">
        <w:t>ervices</w:t>
      </w:r>
    </w:p>
    <w:p w14:paraId="7C7608C2" w14:textId="77777777" w:rsidR="00A834BD" w:rsidRDefault="00A834BD" w:rsidP="00A834BD">
      <w:r>
        <w:t>A full range of professional services are available to the Customer in connection with the colocation Services. The Professional Service Fees include but are not limited to:</w:t>
      </w:r>
    </w:p>
    <w:p w14:paraId="69587F2F" w14:textId="66E3F1ED" w:rsidR="00A834BD" w:rsidRDefault="00A834BD" w:rsidP="003B1747">
      <w:pPr>
        <w:pStyle w:val="ListParagraph"/>
      </w:pPr>
      <w:r>
        <w:t>Installation and configuration of servers, firewalls and switches</w:t>
      </w:r>
    </w:p>
    <w:p w14:paraId="4C147048" w14:textId="0C3076F2" w:rsidR="00A834BD" w:rsidRDefault="00A834BD" w:rsidP="003B1747">
      <w:pPr>
        <w:pStyle w:val="ListParagraph"/>
      </w:pPr>
      <w:r>
        <w:t>Rotation of Customer tapes on daily or weekly basis</w:t>
      </w:r>
    </w:p>
    <w:p w14:paraId="783AB655" w14:textId="26499184" w:rsidR="00A834BD" w:rsidRDefault="00A834BD" w:rsidP="003B1747">
      <w:pPr>
        <w:pStyle w:val="ListParagraph"/>
      </w:pPr>
      <w:r>
        <w:t>Remote services</w:t>
      </w:r>
    </w:p>
    <w:p w14:paraId="23D6E5FF" w14:textId="59D5F4C8" w:rsidR="00A834BD" w:rsidRDefault="00A834BD" w:rsidP="003B1747">
      <w:pPr>
        <w:pStyle w:val="ListParagraph"/>
      </w:pPr>
      <w:r>
        <w:t>Management</w:t>
      </w:r>
    </w:p>
    <w:p w14:paraId="06422874" w14:textId="77777777" w:rsidR="00A834BD" w:rsidRDefault="00A834BD" w:rsidP="00A834BD">
      <w:r>
        <w:t xml:space="preserve">The professional services are subject to the price list below. Specific rates for large or repeat orders can be agreed on a case by case basis in writing. All incremental expenses incurred during these professional services will be passed directly to the Customer. Provisioning costs such as cabling will be discussed and agreed with the Customer in the Order Form. </w:t>
      </w:r>
    </w:p>
    <w:p w14:paraId="0658E02F" w14:textId="7A9E734F" w:rsidR="00A834BD" w:rsidRDefault="00794F79" w:rsidP="00A834BD">
      <w:pPr>
        <w:pStyle w:val="Heading3"/>
      </w:pPr>
      <w:r>
        <w:t>Customer s</w:t>
      </w:r>
      <w:r w:rsidR="00A834BD">
        <w:t>upport</w:t>
      </w:r>
    </w:p>
    <w:p w14:paraId="1A9D2F43" w14:textId="77777777" w:rsidR="00A834BD" w:rsidRDefault="00A834BD" w:rsidP="00A834BD">
      <w:r>
        <w:t xml:space="preserve">Silver level support, as identified in the fault management and reporting handbook is provided as standard on data centre hosting services. Node4 provides the data centre hosting service direct to the Customer. The Customer commits to fully manage all their customers and suppliers directly. Node4 will not interface directly with any third parties working with the Customer. If the Customer requires Node4 to provide their customers with a customer care or NOC service this is available on request and subject to Professional Service Fees. </w:t>
      </w:r>
    </w:p>
    <w:p w14:paraId="1B2ADC0F" w14:textId="21472956" w:rsidR="00A834BD" w:rsidRDefault="00A834BD" w:rsidP="00A834BD">
      <w:pPr>
        <w:pStyle w:val="Heading3"/>
      </w:pPr>
      <w:r>
        <w:t>Monitoring</w:t>
      </w:r>
    </w:p>
    <w:p w14:paraId="5648E033" w14:textId="77777777" w:rsidR="00A834BD" w:rsidRDefault="00A834BD" w:rsidP="00A834BD">
      <w:r>
        <w:t xml:space="preserve">Node4’s core infrastructure is monitored on a 24/7 basis. This excludes Customer equipment. Node4’s Advanced Monitoring Services are available for customers requiring additional monitoring at an additional Fee6.2. </w:t>
      </w:r>
    </w:p>
    <w:p w14:paraId="44CDD992" w14:textId="6171DD17" w:rsidR="00A834BD" w:rsidRDefault="00794F79" w:rsidP="00A834BD">
      <w:pPr>
        <w:pStyle w:val="Heading3"/>
      </w:pPr>
      <w:r>
        <w:t>Maintenance w</w:t>
      </w:r>
      <w:r w:rsidR="00A834BD">
        <w:t>indow</w:t>
      </w:r>
    </w:p>
    <w:p w14:paraId="2C589B0C" w14:textId="2C9B24E0" w:rsidR="00A834BD" w:rsidRDefault="00A834BD" w:rsidP="00A834BD">
      <w:r>
        <w:t xml:space="preserve">Where Node4 plans to perform essential works Node4 will use reasonable endeavours to perform such works between the hours of 00:00 and 04:00 and will use reasonable endeavours to give the Customer at least five (5) days prior notice for network related work and at least ten (10) days prior </w:t>
      </w:r>
      <w:r>
        <w:lastRenderedPageBreak/>
        <w:t>notice for Infrastructure related work. In the event of an emergency or Service Affecting Fault such notice may be less than 24 hours. This is without prejudice to or limitation of the definition of Planned Outage.</w:t>
      </w:r>
    </w:p>
    <w:p w14:paraId="374BA372" w14:textId="27E4980D" w:rsidR="00A834BD" w:rsidRDefault="00794F79" w:rsidP="00A834BD">
      <w:pPr>
        <w:pStyle w:val="Heading2"/>
        <w:jc w:val="left"/>
      </w:pPr>
      <w:r>
        <w:t>Fault reporting and m</w:t>
      </w:r>
      <w:r w:rsidR="00A834BD">
        <w:t>anagement</w:t>
      </w:r>
    </w:p>
    <w:p w14:paraId="6BCA2E1E" w14:textId="2D8F08E4" w:rsidR="00A834BD" w:rsidRDefault="00794F79" w:rsidP="00A834BD">
      <w:pPr>
        <w:pStyle w:val="Heading3"/>
      </w:pPr>
      <w:r>
        <w:t xml:space="preserve"> Fault h</w:t>
      </w:r>
      <w:r w:rsidR="00A834BD">
        <w:t>andling</w:t>
      </w:r>
    </w:p>
    <w:p w14:paraId="46582FB5" w14:textId="77777777" w:rsidR="00A834BD" w:rsidRDefault="00A834BD" w:rsidP="00A834BD">
      <w:r>
        <w:t>Faults are handled as outlined in Node4’s Incident Management Service Schedule</w:t>
      </w:r>
    </w:p>
    <w:p w14:paraId="402B0181" w14:textId="63C9D529" w:rsidR="00A834BD" w:rsidRDefault="00794F79" w:rsidP="00A834BD">
      <w:pPr>
        <w:pStyle w:val="Heading3"/>
      </w:pPr>
      <w:r>
        <w:t xml:space="preserve"> Time to resolve f</w:t>
      </w:r>
      <w:r w:rsidR="00A834BD">
        <w:t>ault (TTRF)</w:t>
      </w:r>
    </w:p>
    <w:p w14:paraId="254D96B3" w14:textId="43AF2F18" w:rsidR="00A834BD" w:rsidRDefault="00A834BD" w:rsidP="00A834BD">
      <w:r>
        <w:t>Node4 aims to resolve requests in relation to the Node4 infrastructure causing a loss of service within four (4) hours, with the following response times:</w:t>
      </w:r>
    </w:p>
    <w:p w14:paraId="32AE8722" w14:textId="31ADF3CF" w:rsidR="00794F79" w:rsidRDefault="00794F79" w:rsidP="00A834BD">
      <w:r>
        <w:t xml:space="preserve">Business hours </w:t>
      </w:r>
    </w:p>
    <w:tbl>
      <w:tblPr>
        <w:tblStyle w:val="TableGrid"/>
        <w:tblW w:w="406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64"/>
        <w:gridCol w:w="647"/>
        <w:gridCol w:w="607"/>
        <w:gridCol w:w="607"/>
        <w:gridCol w:w="607"/>
        <w:gridCol w:w="637"/>
      </w:tblGrid>
      <w:tr w:rsidR="00794F79" w:rsidRPr="00BC665D" w14:paraId="209525F8" w14:textId="77777777" w:rsidTr="00794F79">
        <w:trPr>
          <w:trHeight w:val="545"/>
          <w:tblCellSpacing w:w="20" w:type="dxa"/>
        </w:trPr>
        <w:tc>
          <w:tcPr>
            <w:tcW w:w="874" w:type="dxa"/>
            <w:shd w:val="clear" w:color="auto" w:fill="323232" w:themeFill="text1"/>
            <w:vAlign w:val="bottom"/>
          </w:tcPr>
          <w:p w14:paraId="1F6C6B57" w14:textId="77777777" w:rsidR="00794F79" w:rsidRPr="00D86274" w:rsidRDefault="00794F79" w:rsidP="00D86274">
            <w:pPr>
              <w:jc w:val="center"/>
              <w:rPr>
                <w:rFonts w:cs="Arial"/>
                <w:b/>
                <w:color w:val="FFFFFF"/>
                <w:sz w:val="10"/>
                <w:szCs w:val="16"/>
              </w:rPr>
            </w:pPr>
            <w:r w:rsidRPr="00D86274">
              <w:rPr>
                <w:rFonts w:cs="Arial"/>
                <w:b/>
                <w:color w:val="FFFFFF"/>
                <w:sz w:val="10"/>
                <w:szCs w:val="16"/>
              </w:rPr>
              <w:t>Description</w:t>
            </w:r>
          </w:p>
        </w:tc>
        <w:tc>
          <w:tcPr>
            <w:tcW w:w="637" w:type="dxa"/>
            <w:shd w:val="clear" w:color="auto" w:fill="323232" w:themeFill="text1"/>
            <w:vAlign w:val="bottom"/>
          </w:tcPr>
          <w:p w14:paraId="1D5EA47A" w14:textId="79906F77" w:rsidR="00794F79" w:rsidRPr="00D86274" w:rsidRDefault="00794F79" w:rsidP="00D86274">
            <w:pPr>
              <w:jc w:val="center"/>
              <w:rPr>
                <w:rFonts w:cs="Arial"/>
                <w:b/>
                <w:color w:val="FFFFFF"/>
                <w:sz w:val="10"/>
                <w:szCs w:val="16"/>
              </w:rPr>
            </w:pPr>
            <w:r w:rsidRPr="00D86274">
              <w:rPr>
                <w:rFonts w:cs="Arial"/>
                <w:b/>
                <w:color w:val="FFFFFF"/>
                <w:sz w:val="10"/>
                <w:szCs w:val="16"/>
              </w:rPr>
              <w:t>Priority 1</w:t>
            </w:r>
          </w:p>
        </w:tc>
        <w:tc>
          <w:tcPr>
            <w:tcW w:w="567" w:type="dxa"/>
            <w:shd w:val="clear" w:color="auto" w:fill="323232" w:themeFill="text1"/>
            <w:vAlign w:val="bottom"/>
          </w:tcPr>
          <w:p w14:paraId="52D894D1" w14:textId="6D75259E" w:rsidR="00794F79" w:rsidRPr="00D86274" w:rsidRDefault="00794F79" w:rsidP="00D86274">
            <w:pPr>
              <w:jc w:val="center"/>
              <w:rPr>
                <w:rFonts w:cs="Arial"/>
                <w:b/>
                <w:color w:val="FFFFFF"/>
                <w:sz w:val="10"/>
                <w:szCs w:val="16"/>
              </w:rPr>
            </w:pPr>
            <w:r w:rsidRPr="00D86274">
              <w:rPr>
                <w:rFonts w:cs="Arial"/>
                <w:b/>
                <w:color w:val="FFFFFF"/>
                <w:sz w:val="10"/>
                <w:szCs w:val="16"/>
              </w:rPr>
              <w:t>Priority 2</w:t>
            </w:r>
          </w:p>
        </w:tc>
        <w:tc>
          <w:tcPr>
            <w:tcW w:w="567" w:type="dxa"/>
            <w:shd w:val="clear" w:color="auto" w:fill="323232" w:themeFill="text1"/>
            <w:vAlign w:val="bottom"/>
          </w:tcPr>
          <w:p w14:paraId="59D1EE1D" w14:textId="7E20419A" w:rsidR="00794F79" w:rsidRPr="00D86274" w:rsidRDefault="00794F79" w:rsidP="00D86274">
            <w:pPr>
              <w:jc w:val="center"/>
              <w:rPr>
                <w:rFonts w:cs="Arial"/>
                <w:b/>
                <w:color w:val="FFFFFF"/>
                <w:sz w:val="10"/>
                <w:szCs w:val="16"/>
              </w:rPr>
            </w:pPr>
            <w:r w:rsidRPr="00D86274">
              <w:rPr>
                <w:rFonts w:cs="Arial"/>
                <w:b/>
                <w:color w:val="FFFFFF"/>
                <w:sz w:val="10"/>
                <w:szCs w:val="16"/>
              </w:rPr>
              <w:t>Priority 3</w:t>
            </w:r>
          </w:p>
        </w:tc>
        <w:tc>
          <w:tcPr>
            <w:tcW w:w="567" w:type="dxa"/>
            <w:shd w:val="clear" w:color="auto" w:fill="323232" w:themeFill="text1"/>
            <w:vAlign w:val="bottom"/>
          </w:tcPr>
          <w:p w14:paraId="65A8C6B8" w14:textId="2556B482" w:rsidR="00794F79" w:rsidRPr="00D86274" w:rsidRDefault="00794F79" w:rsidP="00D86274">
            <w:pPr>
              <w:jc w:val="center"/>
              <w:rPr>
                <w:rFonts w:cs="Arial"/>
                <w:b/>
                <w:color w:val="FFFFFF"/>
                <w:sz w:val="10"/>
                <w:szCs w:val="16"/>
              </w:rPr>
            </w:pPr>
            <w:r w:rsidRPr="00D86274">
              <w:rPr>
                <w:rFonts w:cs="Arial"/>
                <w:b/>
                <w:color w:val="FFFFFF"/>
                <w:sz w:val="10"/>
                <w:szCs w:val="16"/>
              </w:rPr>
              <w:t>Priority 4</w:t>
            </w:r>
          </w:p>
        </w:tc>
        <w:tc>
          <w:tcPr>
            <w:tcW w:w="577" w:type="dxa"/>
            <w:shd w:val="clear" w:color="auto" w:fill="323232" w:themeFill="text1"/>
            <w:vAlign w:val="bottom"/>
          </w:tcPr>
          <w:p w14:paraId="16DC682C" w14:textId="5CD4B2DD" w:rsidR="00794F79" w:rsidRPr="00D86274" w:rsidRDefault="00794F79" w:rsidP="00D86274">
            <w:pPr>
              <w:jc w:val="center"/>
              <w:rPr>
                <w:rFonts w:cs="Arial"/>
                <w:b/>
                <w:color w:val="FFFFFF"/>
                <w:sz w:val="10"/>
                <w:szCs w:val="16"/>
              </w:rPr>
            </w:pPr>
            <w:r w:rsidRPr="00D86274">
              <w:rPr>
                <w:rFonts w:cs="Arial"/>
                <w:b/>
                <w:color w:val="FFFFFF"/>
                <w:sz w:val="10"/>
                <w:szCs w:val="16"/>
              </w:rPr>
              <w:t>Priority 5</w:t>
            </w:r>
          </w:p>
        </w:tc>
      </w:tr>
      <w:tr w:rsidR="00794F79" w:rsidRPr="00BC665D" w14:paraId="43DF49B3" w14:textId="77777777" w:rsidTr="00794F79">
        <w:trPr>
          <w:trHeight w:val="751"/>
          <w:tblCellSpacing w:w="20" w:type="dxa"/>
        </w:trPr>
        <w:tc>
          <w:tcPr>
            <w:tcW w:w="874" w:type="dxa"/>
            <w:shd w:val="clear" w:color="auto" w:fill="ADAFAF" w:themeFill="text2"/>
            <w:vAlign w:val="center"/>
          </w:tcPr>
          <w:p w14:paraId="33391D84" w14:textId="77777777" w:rsidR="00794F79" w:rsidRPr="00D86274" w:rsidRDefault="00794F79" w:rsidP="00D758F0">
            <w:pPr>
              <w:spacing w:after="0"/>
              <w:jc w:val="center"/>
              <w:rPr>
                <w:rFonts w:cs="Arial"/>
                <w:b/>
                <w:sz w:val="10"/>
                <w:szCs w:val="16"/>
              </w:rPr>
            </w:pPr>
            <w:r w:rsidRPr="00D86274">
              <w:rPr>
                <w:rFonts w:cs="Arial"/>
                <w:b/>
                <w:sz w:val="10"/>
                <w:szCs w:val="16"/>
              </w:rPr>
              <w:t>Faults &amp; Technical Queries Acknowledge-ment*</w:t>
            </w:r>
          </w:p>
        </w:tc>
        <w:tc>
          <w:tcPr>
            <w:tcW w:w="637" w:type="dxa"/>
            <w:shd w:val="clear" w:color="auto" w:fill="ADAFAF" w:themeFill="text2"/>
            <w:vAlign w:val="center"/>
          </w:tcPr>
          <w:p w14:paraId="312E2EFD" w14:textId="77777777" w:rsidR="00794F79" w:rsidRPr="00D86274" w:rsidRDefault="00794F79" w:rsidP="00D758F0">
            <w:pPr>
              <w:spacing w:after="0"/>
              <w:jc w:val="center"/>
              <w:rPr>
                <w:rFonts w:cs="Arial"/>
                <w:sz w:val="10"/>
                <w:szCs w:val="16"/>
              </w:rPr>
            </w:pPr>
            <w:r w:rsidRPr="00D86274">
              <w:rPr>
                <w:rFonts w:cs="Arial"/>
                <w:sz w:val="10"/>
                <w:szCs w:val="16"/>
              </w:rPr>
              <w:t>30 mins</w:t>
            </w:r>
          </w:p>
        </w:tc>
        <w:tc>
          <w:tcPr>
            <w:tcW w:w="567" w:type="dxa"/>
            <w:shd w:val="clear" w:color="auto" w:fill="ADAFAF" w:themeFill="text2"/>
            <w:vAlign w:val="center"/>
          </w:tcPr>
          <w:p w14:paraId="53CD782D" w14:textId="77777777" w:rsidR="00794F79" w:rsidRPr="00D86274" w:rsidRDefault="00794F79" w:rsidP="00D758F0">
            <w:pPr>
              <w:spacing w:after="0"/>
              <w:jc w:val="center"/>
              <w:rPr>
                <w:rFonts w:cs="Arial"/>
                <w:sz w:val="10"/>
                <w:szCs w:val="16"/>
              </w:rPr>
            </w:pPr>
            <w:r w:rsidRPr="00D86274">
              <w:rPr>
                <w:rFonts w:cs="Arial"/>
                <w:sz w:val="10"/>
                <w:szCs w:val="16"/>
              </w:rPr>
              <w:t>30 Mins</w:t>
            </w:r>
          </w:p>
        </w:tc>
        <w:tc>
          <w:tcPr>
            <w:tcW w:w="567" w:type="dxa"/>
            <w:shd w:val="clear" w:color="auto" w:fill="ADAFAF" w:themeFill="text2"/>
            <w:vAlign w:val="center"/>
          </w:tcPr>
          <w:p w14:paraId="0C882F24" w14:textId="77777777" w:rsidR="00794F79" w:rsidRPr="00D86274" w:rsidRDefault="00794F79" w:rsidP="00D758F0">
            <w:pPr>
              <w:spacing w:after="0"/>
              <w:jc w:val="center"/>
              <w:rPr>
                <w:rFonts w:cs="Arial"/>
                <w:sz w:val="10"/>
                <w:szCs w:val="16"/>
              </w:rPr>
            </w:pPr>
            <w:r w:rsidRPr="00D86274">
              <w:rPr>
                <w:rFonts w:cs="Arial"/>
                <w:sz w:val="10"/>
                <w:szCs w:val="16"/>
              </w:rPr>
              <w:t>1 Hour</w:t>
            </w:r>
          </w:p>
        </w:tc>
        <w:tc>
          <w:tcPr>
            <w:tcW w:w="567" w:type="dxa"/>
            <w:shd w:val="clear" w:color="auto" w:fill="ADAFAF" w:themeFill="text2"/>
            <w:vAlign w:val="center"/>
          </w:tcPr>
          <w:p w14:paraId="5F8534EB" w14:textId="77777777" w:rsidR="00794F79" w:rsidRPr="00D86274" w:rsidRDefault="00794F79" w:rsidP="00D758F0">
            <w:pPr>
              <w:spacing w:after="0"/>
              <w:jc w:val="center"/>
              <w:rPr>
                <w:rFonts w:cs="Arial"/>
                <w:sz w:val="10"/>
                <w:szCs w:val="16"/>
              </w:rPr>
            </w:pPr>
            <w:r w:rsidRPr="00D86274">
              <w:rPr>
                <w:rFonts w:cs="Arial"/>
                <w:sz w:val="10"/>
                <w:szCs w:val="16"/>
              </w:rPr>
              <w:t>2 Hours</w:t>
            </w:r>
          </w:p>
        </w:tc>
        <w:tc>
          <w:tcPr>
            <w:tcW w:w="577" w:type="dxa"/>
            <w:shd w:val="clear" w:color="auto" w:fill="ADAFAF" w:themeFill="text2"/>
            <w:vAlign w:val="center"/>
          </w:tcPr>
          <w:p w14:paraId="144C0818" w14:textId="77777777" w:rsidR="00794F79" w:rsidRPr="00D86274" w:rsidRDefault="00794F79" w:rsidP="00D758F0">
            <w:pPr>
              <w:spacing w:after="0"/>
              <w:jc w:val="center"/>
              <w:rPr>
                <w:rFonts w:cs="Arial"/>
                <w:sz w:val="10"/>
                <w:szCs w:val="16"/>
              </w:rPr>
            </w:pPr>
            <w:r w:rsidRPr="00D86274">
              <w:rPr>
                <w:rFonts w:cs="Arial"/>
                <w:sz w:val="10"/>
                <w:szCs w:val="16"/>
              </w:rPr>
              <w:t>1 Day</w:t>
            </w:r>
          </w:p>
        </w:tc>
      </w:tr>
      <w:tr w:rsidR="00794F79" w:rsidRPr="00BC665D" w14:paraId="7BA01F15" w14:textId="77777777" w:rsidTr="00794F79">
        <w:trPr>
          <w:trHeight w:val="606"/>
          <w:tblCellSpacing w:w="20" w:type="dxa"/>
        </w:trPr>
        <w:tc>
          <w:tcPr>
            <w:tcW w:w="874" w:type="dxa"/>
            <w:vAlign w:val="center"/>
          </w:tcPr>
          <w:p w14:paraId="75DC28C0" w14:textId="77777777" w:rsidR="00794F79" w:rsidRPr="00D86274" w:rsidRDefault="00794F79" w:rsidP="00D758F0">
            <w:pPr>
              <w:spacing w:after="0"/>
              <w:jc w:val="center"/>
              <w:rPr>
                <w:rFonts w:cs="Arial"/>
                <w:b/>
                <w:sz w:val="10"/>
                <w:szCs w:val="16"/>
              </w:rPr>
            </w:pPr>
            <w:r w:rsidRPr="00D86274">
              <w:rPr>
                <w:rFonts w:cs="Arial"/>
                <w:b/>
                <w:sz w:val="10"/>
                <w:szCs w:val="16"/>
              </w:rPr>
              <w:t>Remedial Engineer Actions Commence</w:t>
            </w:r>
          </w:p>
        </w:tc>
        <w:tc>
          <w:tcPr>
            <w:tcW w:w="637" w:type="dxa"/>
            <w:shd w:val="clear" w:color="auto" w:fill="FFFFFF" w:themeFill="background1"/>
            <w:vAlign w:val="center"/>
          </w:tcPr>
          <w:p w14:paraId="1A143AC6" w14:textId="77777777" w:rsidR="00794F79" w:rsidRPr="00D86274" w:rsidRDefault="00794F79" w:rsidP="00D758F0">
            <w:pPr>
              <w:spacing w:after="0"/>
              <w:jc w:val="center"/>
              <w:rPr>
                <w:rFonts w:cs="Arial"/>
                <w:sz w:val="10"/>
                <w:szCs w:val="16"/>
              </w:rPr>
            </w:pPr>
            <w:r w:rsidRPr="00D86274">
              <w:rPr>
                <w:rFonts w:cs="Arial"/>
                <w:sz w:val="10"/>
                <w:szCs w:val="16"/>
              </w:rPr>
              <w:t>1 Hour</w:t>
            </w:r>
          </w:p>
        </w:tc>
        <w:tc>
          <w:tcPr>
            <w:tcW w:w="567" w:type="dxa"/>
            <w:shd w:val="clear" w:color="auto" w:fill="FFFFFF" w:themeFill="background1"/>
            <w:vAlign w:val="center"/>
          </w:tcPr>
          <w:p w14:paraId="151F7C7F" w14:textId="77777777" w:rsidR="00794F79" w:rsidRPr="00D86274" w:rsidRDefault="00794F79" w:rsidP="00D758F0">
            <w:pPr>
              <w:spacing w:after="0"/>
              <w:jc w:val="center"/>
              <w:rPr>
                <w:rFonts w:cs="Arial"/>
                <w:sz w:val="10"/>
                <w:szCs w:val="16"/>
              </w:rPr>
            </w:pPr>
            <w:r w:rsidRPr="00D86274">
              <w:rPr>
                <w:rFonts w:cs="Arial"/>
                <w:sz w:val="10"/>
                <w:szCs w:val="16"/>
              </w:rPr>
              <w:t>2 Hours</w:t>
            </w:r>
          </w:p>
        </w:tc>
        <w:tc>
          <w:tcPr>
            <w:tcW w:w="567" w:type="dxa"/>
            <w:shd w:val="clear" w:color="auto" w:fill="FFFFFF" w:themeFill="background1"/>
            <w:vAlign w:val="center"/>
          </w:tcPr>
          <w:p w14:paraId="73F7E14F" w14:textId="77777777" w:rsidR="00794F79" w:rsidRPr="00D86274" w:rsidRDefault="00794F79" w:rsidP="00D758F0">
            <w:pPr>
              <w:spacing w:after="0"/>
              <w:jc w:val="center"/>
              <w:rPr>
                <w:rFonts w:cs="Arial"/>
                <w:sz w:val="10"/>
                <w:szCs w:val="16"/>
              </w:rPr>
            </w:pPr>
            <w:r w:rsidRPr="00D86274">
              <w:rPr>
                <w:rFonts w:cs="Arial"/>
                <w:sz w:val="10"/>
                <w:szCs w:val="16"/>
              </w:rPr>
              <w:t>4 Hours</w:t>
            </w:r>
          </w:p>
        </w:tc>
        <w:tc>
          <w:tcPr>
            <w:tcW w:w="567" w:type="dxa"/>
            <w:shd w:val="clear" w:color="auto" w:fill="FFFFFF" w:themeFill="background1"/>
            <w:vAlign w:val="center"/>
          </w:tcPr>
          <w:p w14:paraId="078B975A" w14:textId="77777777" w:rsidR="00794F79" w:rsidRPr="00D86274" w:rsidRDefault="00794F79" w:rsidP="00D758F0">
            <w:pPr>
              <w:spacing w:after="0"/>
              <w:jc w:val="center"/>
              <w:rPr>
                <w:rFonts w:cs="Arial"/>
                <w:sz w:val="10"/>
                <w:szCs w:val="16"/>
              </w:rPr>
            </w:pPr>
            <w:r w:rsidRPr="00D86274">
              <w:rPr>
                <w:rFonts w:cs="Arial"/>
                <w:sz w:val="10"/>
                <w:szCs w:val="16"/>
              </w:rPr>
              <w:t>12 Hours</w:t>
            </w:r>
          </w:p>
        </w:tc>
        <w:tc>
          <w:tcPr>
            <w:tcW w:w="577" w:type="dxa"/>
            <w:shd w:val="clear" w:color="auto" w:fill="FFFFFF" w:themeFill="background1"/>
            <w:vAlign w:val="center"/>
          </w:tcPr>
          <w:p w14:paraId="113A10B8" w14:textId="77777777" w:rsidR="00794F79" w:rsidRPr="00D86274" w:rsidRDefault="00794F79" w:rsidP="00D758F0">
            <w:pPr>
              <w:spacing w:after="0"/>
              <w:jc w:val="center"/>
              <w:rPr>
                <w:rFonts w:cs="Arial"/>
                <w:sz w:val="10"/>
                <w:szCs w:val="16"/>
              </w:rPr>
            </w:pPr>
            <w:r w:rsidRPr="00D86274">
              <w:rPr>
                <w:rFonts w:cs="Arial"/>
                <w:sz w:val="10"/>
                <w:szCs w:val="16"/>
              </w:rPr>
              <w:t>N/A</w:t>
            </w:r>
          </w:p>
        </w:tc>
      </w:tr>
      <w:tr w:rsidR="00794F79" w:rsidRPr="00BC665D" w14:paraId="2A5A7527" w14:textId="77777777" w:rsidTr="00794F79">
        <w:trPr>
          <w:trHeight w:val="475"/>
          <w:tblCellSpacing w:w="20" w:type="dxa"/>
        </w:trPr>
        <w:tc>
          <w:tcPr>
            <w:tcW w:w="874" w:type="dxa"/>
            <w:shd w:val="clear" w:color="auto" w:fill="ADAFAF" w:themeFill="text2"/>
            <w:vAlign w:val="center"/>
          </w:tcPr>
          <w:p w14:paraId="3E5D028A" w14:textId="77777777" w:rsidR="00794F79" w:rsidRPr="00D86274" w:rsidRDefault="00794F79" w:rsidP="00D758F0">
            <w:pPr>
              <w:spacing w:after="0"/>
              <w:jc w:val="center"/>
              <w:rPr>
                <w:rFonts w:cs="Arial"/>
                <w:b/>
                <w:sz w:val="10"/>
                <w:szCs w:val="16"/>
              </w:rPr>
            </w:pPr>
            <w:r w:rsidRPr="00D86274">
              <w:rPr>
                <w:rFonts w:cs="Arial"/>
                <w:b/>
                <w:sz w:val="10"/>
                <w:szCs w:val="16"/>
              </w:rPr>
              <w:t>Time to Resolve Fault**</w:t>
            </w:r>
          </w:p>
        </w:tc>
        <w:tc>
          <w:tcPr>
            <w:tcW w:w="637" w:type="dxa"/>
            <w:shd w:val="clear" w:color="auto" w:fill="ADAFAF" w:themeFill="text2"/>
            <w:vAlign w:val="center"/>
          </w:tcPr>
          <w:p w14:paraId="113742CD" w14:textId="77777777" w:rsidR="00794F79" w:rsidRPr="00D86274" w:rsidRDefault="00794F79" w:rsidP="00D758F0">
            <w:pPr>
              <w:spacing w:after="0"/>
              <w:jc w:val="center"/>
              <w:rPr>
                <w:rFonts w:cs="Arial"/>
                <w:sz w:val="10"/>
                <w:szCs w:val="16"/>
              </w:rPr>
            </w:pPr>
            <w:r w:rsidRPr="00D86274">
              <w:rPr>
                <w:rFonts w:cs="Arial"/>
                <w:sz w:val="10"/>
                <w:szCs w:val="16"/>
              </w:rPr>
              <w:t>5 Hours</w:t>
            </w:r>
          </w:p>
        </w:tc>
        <w:tc>
          <w:tcPr>
            <w:tcW w:w="567" w:type="dxa"/>
            <w:shd w:val="clear" w:color="auto" w:fill="ADAFAF" w:themeFill="text2"/>
            <w:vAlign w:val="center"/>
          </w:tcPr>
          <w:p w14:paraId="100A5DB6" w14:textId="77777777" w:rsidR="00794F79" w:rsidRPr="00D86274" w:rsidRDefault="00794F79" w:rsidP="00D758F0">
            <w:pPr>
              <w:spacing w:after="0"/>
              <w:jc w:val="center"/>
              <w:rPr>
                <w:rFonts w:cs="Arial"/>
                <w:sz w:val="10"/>
                <w:szCs w:val="16"/>
              </w:rPr>
            </w:pPr>
            <w:r w:rsidRPr="00D86274">
              <w:rPr>
                <w:rFonts w:cs="Arial"/>
                <w:sz w:val="10"/>
                <w:szCs w:val="16"/>
              </w:rPr>
              <w:t>5 Hours</w:t>
            </w:r>
          </w:p>
        </w:tc>
        <w:tc>
          <w:tcPr>
            <w:tcW w:w="567" w:type="dxa"/>
            <w:shd w:val="clear" w:color="auto" w:fill="ADAFAF" w:themeFill="text2"/>
            <w:vAlign w:val="center"/>
          </w:tcPr>
          <w:p w14:paraId="78B9BB2C" w14:textId="77777777" w:rsidR="00794F79" w:rsidRPr="00D86274" w:rsidRDefault="00794F79" w:rsidP="00D758F0">
            <w:pPr>
              <w:spacing w:after="0"/>
              <w:jc w:val="center"/>
              <w:rPr>
                <w:rFonts w:cs="Arial"/>
                <w:sz w:val="10"/>
                <w:szCs w:val="16"/>
              </w:rPr>
            </w:pPr>
            <w:r w:rsidRPr="00D86274">
              <w:rPr>
                <w:rFonts w:cs="Arial"/>
                <w:sz w:val="10"/>
                <w:szCs w:val="16"/>
              </w:rPr>
              <w:t>24 Hours</w:t>
            </w:r>
          </w:p>
        </w:tc>
        <w:tc>
          <w:tcPr>
            <w:tcW w:w="567" w:type="dxa"/>
            <w:shd w:val="clear" w:color="auto" w:fill="ADAFAF" w:themeFill="text2"/>
            <w:vAlign w:val="center"/>
          </w:tcPr>
          <w:p w14:paraId="084E7FB3" w14:textId="77777777" w:rsidR="00794F79" w:rsidRPr="00D86274" w:rsidRDefault="00794F79" w:rsidP="00D758F0">
            <w:pPr>
              <w:spacing w:after="0"/>
              <w:jc w:val="center"/>
              <w:rPr>
                <w:rFonts w:cs="Arial"/>
                <w:sz w:val="10"/>
                <w:szCs w:val="16"/>
              </w:rPr>
            </w:pPr>
            <w:r w:rsidRPr="00D86274">
              <w:rPr>
                <w:rFonts w:cs="Arial"/>
                <w:sz w:val="10"/>
                <w:szCs w:val="16"/>
              </w:rPr>
              <w:t>72 Hours</w:t>
            </w:r>
          </w:p>
        </w:tc>
        <w:tc>
          <w:tcPr>
            <w:tcW w:w="577" w:type="dxa"/>
            <w:shd w:val="clear" w:color="auto" w:fill="ADAFAF" w:themeFill="text2"/>
            <w:vAlign w:val="center"/>
          </w:tcPr>
          <w:p w14:paraId="46859B1E" w14:textId="77777777" w:rsidR="00794F79" w:rsidRPr="00D86274" w:rsidRDefault="00794F79" w:rsidP="00D758F0">
            <w:pPr>
              <w:spacing w:after="0"/>
              <w:jc w:val="center"/>
              <w:rPr>
                <w:rFonts w:cs="Arial"/>
                <w:sz w:val="10"/>
                <w:szCs w:val="16"/>
              </w:rPr>
            </w:pPr>
            <w:r w:rsidRPr="00D86274">
              <w:rPr>
                <w:rFonts w:cs="Arial"/>
                <w:sz w:val="10"/>
                <w:szCs w:val="16"/>
              </w:rPr>
              <w:t>5 Days</w:t>
            </w:r>
          </w:p>
          <w:p w14:paraId="0E9CA45E" w14:textId="77777777" w:rsidR="00794F79" w:rsidRPr="00D86274" w:rsidRDefault="00794F79" w:rsidP="00D758F0">
            <w:pPr>
              <w:spacing w:after="0"/>
              <w:jc w:val="center"/>
              <w:rPr>
                <w:rFonts w:cs="Arial"/>
                <w:sz w:val="10"/>
                <w:szCs w:val="16"/>
              </w:rPr>
            </w:pPr>
            <w:r w:rsidRPr="00D86274">
              <w:rPr>
                <w:rFonts w:cs="Arial"/>
                <w:sz w:val="10"/>
                <w:szCs w:val="16"/>
              </w:rPr>
              <w:t>***</w:t>
            </w:r>
          </w:p>
        </w:tc>
      </w:tr>
    </w:tbl>
    <w:p w14:paraId="0D555514" w14:textId="77777777" w:rsidR="00794F79" w:rsidRPr="00794F79" w:rsidRDefault="00794F79" w:rsidP="00A834BD">
      <w:pPr>
        <w:rPr>
          <w:sz w:val="8"/>
          <w:szCs w:val="8"/>
        </w:rPr>
      </w:pPr>
    </w:p>
    <w:p w14:paraId="3C20AEDA" w14:textId="6AD1CA93" w:rsidR="00794F79" w:rsidRPr="00794F79" w:rsidRDefault="00794F79" w:rsidP="00A834BD">
      <w:r w:rsidRPr="00794F79">
        <w:t xml:space="preserve">Non-business hours </w:t>
      </w:r>
    </w:p>
    <w:tbl>
      <w:tblPr>
        <w:tblStyle w:val="TableGrid"/>
        <w:tblW w:w="406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964"/>
        <w:gridCol w:w="647"/>
        <w:gridCol w:w="607"/>
        <w:gridCol w:w="607"/>
        <w:gridCol w:w="607"/>
        <w:gridCol w:w="637"/>
      </w:tblGrid>
      <w:tr w:rsidR="00794F79" w:rsidRPr="00BC665D" w14:paraId="70AB7D2B" w14:textId="77777777" w:rsidTr="00794F79">
        <w:trPr>
          <w:trHeight w:val="545"/>
          <w:tblCellSpacing w:w="20" w:type="dxa"/>
        </w:trPr>
        <w:tc>
          <w:tcPr>
            <w:tcW w:w="874" w:type="dxa"/>
            <w:shd w:val="clear" w:color="auto" w:fill="323232" w:themeFill="text1"/>
            <w:vAlign w:val="bottom"/>
          </w:tcPr>
          <w:p w14:paraId="1F76687C" w14:textId="77777777" w:rsidR="00794F79" w:rsidRPr="00D86274" w:rsidRDefault="00794F79" w:rsidP="00D758F0">
            <w:pPr>
              <w:jc w:val="center"/>
              <w:rPr>
                <w:rFonts w:cs="Arial"/>
                <w:b/>
                <w:color w:val="FFFFFF"/>
                <w:sz w:val="10"/>
                <w:szCs w:val="16"/>
              </w:rPr>
            </w:pPr>
            <w:r w:rsidRPr="00D86274">
              <w:rPr>
                <w:rFonts w:cs="Arial"/>
                <w:b/>
                <w:color w:val="FFFFFF"/>
                <w:sz w:val="10"/>
                <w:szCs w:val="16"/>
              </w:rPr>
              <w:t>Description</w:t>
            </w:r>
          </w:p>
        </w:tc>
        <w:tc>
          <w:tcPr>
            <w:tcW w:w="637" w:type="dxa"/>
            <w:shd w:val="clear" w:color="auto" w:fill="323232" w:themeFill="text1"/>
            <w:vAlign w:val="bottom"/>
          </w:tcPr>
          <w:p w14:paraId="1C9317A5" w14:textId="77777777" w:rsidR="00794F79" w:rsidRPr="00D86274" w:rsidRDefault="00794F79" w:rsidP="00D758F0">
            <w:pPr>
              <w:jc w:val="center"/>
              <w:rPr>
                <w:rFonts w:cs="Arial"/>
                <w:b/>
                <w:color w:val="FFFFFF"/>
                <w:sz w:val="10"/>
                <w:szCs w:val="16"/>
              </w:rPr>
            </w:pPr>
            <w:r w:rsidRPr="00D86274">
              <w:rPr>
                <w:rFonts w:cs="Arial"/>
                <w:b/>
                <w:color w:val="FFFFFF"/>
                <w:sz w:val="10"/>
                <w:szCs w:val="16"/>
              </w:rPr>
              <w:t>Priority 1</w:t>
            </w:r>
          </w:p>
        </w:tc>
        <w:tc>
          <w:tcPr>
            <w:tcW w:w="567" w:type="dxa"/>
            <w:shd w:val="clear" w:color="auto" w:fill="323232" w:themeFill="text1"/>
            <w:vAlign w:val="bottom"/>
          </w:tcPr>
          <w:p w14:paraId="51FECA11" w14:textId="77777777" w:rsidR="00794F79" w:rsidRPr="00D86274" w:rsidRDefault="00794F79" w:rsidP="00D758F0">
            <w:pPr>
              <w:jc w:val="center"/>
              <w:rPr>
                <w:rFonts w:cs="Arial"/>
                <w:b/>
                <w:color w:val="FFFFFF"/>
                <w:sz w:val="10"/>
                <w:szCs w:val="16"/>
              </w:rPr>
            </w:pPr>
            <w:r w:rsidRPr="00D86274">
              <w:rPr>
                <w:rFonts w:cs="Arial"/>
                <w:b/>
                <w:color w:val="FFFFFF"/>
                <w:sz w:val="10"/>
                <w:szCs w:val="16"/>
              </w:rPr>
              <w:t>Priority 2</w:t>
            </w:r>
          </w:p>
        </w:tc>
        <w:tc>
          <w:tcPr>
            <w:tcW w:w="567" w:type="dxa"/>
            <w:shd w:val="clear" w:color="auto" w:fill="323232" w:themeFill="text1"/>
            <w:vAlign w:val="bottom"/>
          </w:tcPr>
          <w:p w14:paraId="369ABFB3" w14:textId="77777777" w:rsidR="00794F79" w:rsidRPr="00D86274" w:rsidRDefault="00794F79" w:rsidP="00D758F0">
            <w:pPr>
              <w:jc w:val="center"/>
              <w:rPr>
                <w:rFonts w:cs="Arial"/>
                <w:b/>
                <w:color w:val="FFFFFF"/>
                <w:sz w:val="10"/>
                <w:szCs w:val="16"/>
              </w:rPr>
            </w:pPr>
            <w:r w:rsidRPr="00D86274">
              <w:rPr>
                <w:rFonts w:cs="Arial"/>
                <w:b/>
                <w:color w:val="FFFFFF"/>
                <w:sz w:val="10"/>
                <w:szCs w:val="16"/>
              </w:rPr>
              <w:t>Priority 3</w:t>
            </w:r>
          </w:p>
        </w:tc>
        <w:tc>
          <w:tcPr>
            <w:tcW w:w="567" w:type="dxa"/>
            <w:shd w:val="clear" w:color="auto" w:fill="323232" w:themeFill="text1"/>
            <w:vAlign w:val="bottom"/>
          </w:tcPr>
          <w:p w14:paraId="69B9017A" w14:textId="77777777" w:rsidR="00794F79" w:rsidRPr="00D86274" w:rsidRDefault="00794F79" w:rsidP="00D758F0">
            <w:pPr>
              <w:jc w:val="center"/>
              <w:rPr>
                <w:rFonts w:cs="Arial"/>
                <w:b/>
                <w:color w:val="FFFFFF"/>
                <w:sz w:val="10"/>
                <w:szCs w:val="16"/>
              </w:rPr>
            </w:pPr>
            <w:r w:rsidRPr="00D86274">
              <w:rPr>
                <w:rFonts w:cs="Arial"/>
                <w:b/>
                <w:color w:val="FFFFFF"/>
                <w:sz w:val="10"/>
                <w:szCs w:val="16"/>
              </w:rPr>
              <w:t>Priority 4</w:t>
            </w:r>
          </w:p>
        </w:tc>
        <w:tc>
          <w:tcPr>
            <w:tcW w:w="577" w:type="dxa"/>
            <w:shd w:val="clear" w:color="auto" w:fill="323232" w:themeFill="text1"/>
            <w:vAlign w:val="bottom"/>
          </w:tcPr>
          <w:p w14:paraId="797AA226" w14:textId="77777777" w:rsidR="00794F79" w:rsidRPr="00D86274" w:rsidRDefault="00794F79" w:rsidP="00D758F0">
            <w:pPr>
              <w:jc w:val="center"/>
              <w:rPr>
                <w:rFonts w:cs="Arial"/>
                <w:b/>
                <w:color w:val="FFFFFF"/>
                <w:sz w:val="10"/>
                <w:szCs w:val="16"/>
              </w:rPr>
            </w:pPr>
            <w:r w:rsidRPr="00D86274">
              <w:rPr>
                <w:rFonts w:cs="Arial"/>
                <w:b/>
                <w:color w:val="FFFFFF"/>
                <w:sz w:val="10"/>
                <w:szCs w:val="16"/>
              </w:rPr>
              <w:t>Priority 5</w:t>
            </w:r>
          </w:p>
        </w:tc>
      </w:tr>
      <w:tr w:rsidR="00794F79" w:rsidRPr="00BC665D" w14:paraId="297275B3" w14:textId="77777777" w:rsidTr="00794F79">
        <w:trPr>
          <w:trHeight w:val="751"/>
          <w:tblCellSpacing w:w="20" w:type="dxa"/>
        </w:trPr>
        <w:tc>
          <w:tcPr>
            <w:tcW w:w="874" w:type="dxa"/>
            <w:shd w:val="clear" w:color="auto" w:fill="ADAFAF" w:themeFill="text2"/>
            <w:vAlign w:val="center"/>
          </w:tcPr>
          <w:p w14:paraId="27EDEE0A" w14:textId="77777777" w:rsidR="00794F79" w:rsidRPr="00D86274" w:rsidRDefault="00794F79" w:rsidP="00D758F0">
            <w:pPr>
              <w:spacing w:after="0"/>
              <w:jc w:val="center"/>
              <w:rPr>
                <w:rFonts w:cs="Arial"/>
                <w:b/>
                <w:sz w:val="10"/>
                <w:szCs w:val="16"/>
              </w:rPr>
            </w:pPr>
            <w:r w:rsidRPr="00D86274">
              <w:rPr>
                <w:rFonts w:cs="Arial"/>
                <w:b/>
                <w:sz w:val="10"/>
                <w:szCs w:val="16"/>
              </w:rPr>
              <w:t>Faults &amp; Technical Queries Acknowledge-ment*</w:t>
            </w:r>
          </w:p>
        </w:tc>
        <w:tc>
          <w:tcPr>
            <w:tcW w:w="637" w:type="dxa"/>
            <w:shd w:val="clear" w:color="auto" w:fill="ADAFAF" w:themeFill="text2"/>
            <w:vAlign w:val="center"/>
          </w:tcPr>
          <w:p w14:paraId="6DD1C953" w14:textId="0DD222F3" w:rsidR="00794F79" w:rsidRPr="00D86274" w:rsidRDefault="00794F79" w:rsidP="00D758F0">
            <w:pPr>
              <w:spacing w:after="0"/>
              <w:jc w:val="center"/>
              <w:rPr>
                <w:rFonts w:cs="Arial"/>
                <w:sz w:val="10"/>
                <w:szCs w:val="16"/>
              </w:rPr>
            </w:pPr>
            <w:r>
              <w:rPr>
                <w:rFonts w:cs="Arial"/>
                <w:sz w:val="10"/>
                <w:szCs w:val="16"/>
              </w:rPr>
              <w:t>6</w:t>
            </w:r>
            <w:r w:rsidRPr="00D86274">
              <w:rPr>
                <w:rFonts w:cs="Arial"/>
                <w:sz w:val="10"/>
                <w:szCs w:val="16"/>
              </w:rPr>
              <w:t>0 mins</w:t>
            </w:r>
          </w:p>
        </w:tc>
        <w:tc>
          <w:tcPr>
            <w:tcW w:w="567" w:type="dxa"/>
            <w:shd w:val="clear" w:color="auto" w:fill="ADAFAF" w:themeFill="text2"/>
            <w:vAlign w:val="center"/>
          </w:tcPr>
          <w:p w14:paraId="2425713C" w14:textId="29D0AEA9" w:rsidR="00794F79" w:rsidRPr="00D86274" w:rsidRDefault="00794F79" w:rsidP="00D758F0">
            <w:pPr>
              <w:spacing w:after="0"/>
              <w:jc w:val="center"/>
              <w:rPr>
                <w:rFonts w:cs="Arial"/>
                <w:sz w:val="10"/>
                <w:szCs w:val="16"/>
              </w:rPr>
            </w:pPr>
            <w:r>
              <w:rPr>
                <w:rFonts w:cs="Arial"/>
                <w:sz w:val="10"/>
                <w:szCs w:val="16"/>
              </w:rPr>
              <w:t>6</w:t>
            </w:r>
            <w:r w:rsidRPr="00D86274">
              <w:rPr>
                <w:rFonts w:cs="Arial"/>
                <w:sz w:val="10"/>
                <w:szCs w:val="16"/>
              </w:rPr>
              <w:t>0 Mins</w:t>
            </w:r>
          </w:p>
        </w:tc>
        <w:tc>
          <w:tcPr>
            <w:tcW w:w="567" w:type="dxa"/>
            <w:shd w:val="clear" w:color="auto" w:fill="ADAFAF" w:themeFill="text2"/>
            <w:vAlign w:val="center"/>
          </w:tcPr>
          <w:p w14:paraId="57B7A013" w14:textId="77777777" w:rsidR="00794F79" w:rsidRDefault="00794F79" w:rsidP="00D758F0">
            <w:pPr>
              <w:spacing w:after="0"/>
              <w:jc w:val="center"/>
              <w:rPr>
                <w:rFonts w:cs="Arial"/>
                <w:sz w:val="10"/>
                <w:szCs w:val="16"/>
              </w:rPr>
            </w:pPr>
            <w:r>
              <w:rPr>
                <w:rFonts w:cs="Arial"/>
                <w:sz w:val="10"/>
                <w:szCs w:val="16"/>
              </w:rPr>
              <w:t>Auto-</w:t>
            </w:r>
          </w:p>
          <w:p w14:paraId="161103A1" w14:textId="493DDA86" w:rsidR="00794F79" w:rsidRDefault="00794F79" w:rsidP="00D758F0">
            <w:pPr>
              <w:spacing w:after="0"/>
              <w:jc w:val="center"/>
              <w:rPr>
                <w:rFonts w:cs="Arial"/>
                <w:sz w:val="10"/>
                <w:szCs w:val="16"/>
              </w:rPr>
            </w:pPr>
            <w:r>
              <w:rPr>
                <w:rFonts w:cs="Arial"/>
                <w:sz w:val="10"/>
                <w:szCs w:val="16"/>
              </w:rPr>
              <w:t>Mated</w:t>
            </w:r>
          </w:p>
          <w:p w14:paraId="64F5168D" w14:textId="77777777" w:rsidR="00794F79" w:rsidRDefault="00794F79" w:rsidP="00D758F0">
            <w:pPr>
              <w:spacing w:after="0"/>
              <w:jc w:val="center"/>
              <w:rPr>
                <w:rFonts w:cs="Arial"/>
                <w:sz w:val="10"/>
                <w:szCs w:val="16"/>
              </w:rPr>
            </w:pPr>
            <w:r>
              <w:rPr>
                <w:rFonts w:cs="Arial"/>
                <w:sz w:val="10"/>
                <w:szCs w:val="16"/>
              </w:rPr>
              <w:t>Email</w:t>
            </w:r>
          </w:p>
          <w:p w14:paraId="24F342D8" w14:textId="77777777" w:rsidR="00794F79" w:rsidRDefault="00794F79" w:rsidP="00D758F0">
            <w:pPr>
              <w:spacing w:after="0"/>
              <w:jc w:val="center"/>
              <w:rPr>
                <w:rFonts w:cs="Arial"/>
                <w:sz w:val="10"/>
                <w:szCs w:val="16"/>
              </w:rPr>
            </w:pPr>
            <w:r>
              <w:rPr>
                <w:rFonts w:cs="Arial"/>
                <w:sz w:val="10"/>
                <w:szCs w:val="16"/>
              </w:rPr>
              <w:t>Respo-</w:t>
            </w:r>
          </w:p>
          <w:p w14:paraId="4B75DCD8" w14:textId="06197A35" w:rsidR="00794F79" w:rsidRPr="00D86274" w:rsidRDefault="00794F79" w:rsidP="00D758F0">
            <w:pPr>
              <w:spacing w:after="0"/>
              <w:jc w:val="center"/>
              <w:rPr>
                <w:rFonts w:cs="Arial"/>
                <w:sz w:val="10"/>
                <w:szCs w:val="16"/>
              </w:rPr>
            </w:pPr>
            <w:r>
              <w:rPr>
                <w:rFonts w:cs="Arial"/>
                <w:sz w:val="10"/>
                <w:szCs w:val="16"/>
              </w:rPr>
              <w:t>nse</w:t>
            </w:r>
          </w:p>
        </w:tc>
        <w:tc>
          <w:tcPr>
            <w:tcW w:w="567" w:type="dxa"/>
            <w:shd w:val="clear" w:color="auto" w:fill="ADAFAF" w:themeFill="text2"/>
            <w:vAlign w:val="center"/>
          </w:tcPr>
          <w:p w14:paraId="51A7A1D7" w14:textId="77777777" w:rsidR="00794F79" w:rsidRDefault="00794F79" w:rsidP="00D86274">
            <w:pPr>
              <w:spacing w:after="0"/>
              <w:jc w:val="center"/>
              <w:rPr>
                <w:rFonts w:cs="Arial"/>
                <w:sz w:val="10"/>
                <w:szCs w:val="16"/>
              </w:rPr>
            </w:pPr>
            <w:r>
              <w:rPr>
                <w:rFonts w:cs="Arial"/>
                <w:sz w:val="10"/>
                <w:szCs w:val="16"/>
              </w:rPr>
              <w:t>Auto-</w:t>
            </w:r>
          </w:p>
          <w:p w14:paraId="26F8970A" w14:textId="77777777" w:rsidR="00794F79" w:rsidRDefault="00794F79" w:rsidP="00D86274">
            <w:pPr>
              <w:spacing w:after="0"/>
              <w:jc w:val="center"/>
              <w:rPr>
                <w:rFonts w:cs="Arial"/>
                <w:sz w:val="10"/>
                <w:szCs w:val="16"/>
              </w:rPr>
            </w:pPr>
            <w:r>
              <w:rPr>
                <w:rFonts w:cs="Arial"/>
                <w:sz w:val="10"/>
                <w:szCs w:val="16"/>
              </w:rPr>
              <w:t>Mated</w:t>
            </w:r>
          </w:p>
          <w:p w14:paraId="29C71D9F" w14:textId="77777777" w:rsidR="00794F79" w:rsidRDefault="00794F79" w:rsidP="00D86274">
            <w:pPr>
              <w:spacing w:after="0"/>
              <w:jc w:val="center"/>
              <w:rPr>
                <w:rFonts w:cs="Arial"/>
                <w:sz w:val="10"/>
                <w:szCs w:val="16"/>
              </w:rPr>
            </w:pPr>
            <w:r>
              <w:rPr>
                <w:rFonts w:cs="Arial"/>
                <w:sz w:val="10"/>
                <w:szCs w:val="16"/>
              </w:rPr>
              <w:t>Email</w:t>
            </w:r>
          </w:p>
          <w:p w14:paraId="56C81F12" w14:textId="77777777" w:rsidR="00794F79" w:rsidRDefault="00794F79" w:rsidP="00D86274">
            <w:pPr>
              <w:spacing w:after="0"/>
              <w:jc w:val="center"/>
              <w:rPr>
                <w:rFonts w:cs="Arial"/>
                <w:sz w:val="10"/>
                <w:szCs w:val="16"/>
              </w:rPr>
            </w:pPr>
            <w:r>
              <w:rPr>
                <w:rFonts w:cs="Arial"/>
                <w:sz w:val="10"/>
                <w:szCs w:val="16"/>
              </w:rPr>
              <w:t>Respo-</w:t>
            </w:r>
          </w:p>
          <w:p w14:paraId="03A62057" w14:textId="565CEC39" w:rsidR="00794F79" w:rsidRPr="00D86274" w:rsidRDefault="00794F79" w:rsidP="00D86274">
            <w:pPr>
              <w:spacing w:after="0"/>
              <w:jc w:val="center"/>
              <w:rPr>
                <w:rFonts w:cs="Arial"/>
                <w:sz w:val="10"/>
                <w:szCs w:val="16"/>
              </w:rPr>
            </w:pPr>
            <w:r>
              <w:rPr>
                <w:rFonts w:cs="Arial"/>
                <w:sz w:val="10"/>
                <w:szCs w:val="16"/>
              </w:rPr>
              <w:t>nse</w:t>
            </w:r>
          </w:p>
        </w:tc>
        <w:tc>
          <w:tcPr>
            <w:tcW w:w="577" w:type="dxa"/>
            <w:shd w:val="clear" w:color="auto" w:fill="ADAFAF" w:themeFill="text2"/>
            <w:vAlign w:val="center"/>
          </w:tcPr>
          <w:p w14:paraId="20123CF1" w14:textId="77777777" w:rsidR="00794F79" w:rsidRDefault="00794F79" w:rsidP="00D86274">
            <w:pPr>
              <w:spacing w:after="0"/>
              <w:jc w:val="center"/>
              <w:rPr>
                <w:rFonts w:cs="Arial"/>
                <w:sz w:val="10"/>
                <w:szCs w:val="16"/>
              </w:rPr>
            </w:pPr>
            <w:r>
              <w:rPr>
                <w:rFonts w:cs="Arial"/>
                <w:sz w:val="10"/>
                <w:szCs w:val="16"/>
              </w:rPr>
              <w:t>Auto-</w:t>
            </w:r>
          </w:p>
          <w:p w14:paraId="76B8AE8F" w14:textId="77777777" w:rsidR="00794F79" w:rsidRDefault="00794F79" w:rsidP="00D86274">
            <w:pPr>
              <w:spacing w:after="0"/>
              <w:jc w:val="center"/>
              <w:rPr>
                <w:rFonts w:cs="Arial"/>
                <w:sz w:val="10"/>
                <w:szCs w:val="16"/>
              </w:rPr>
            </w:pPr>
            <w:r>
              <w:rPr>
                <w:rFonts w:cs="Arial"/>
                <w:sz w:val="10"/>
                <w:szCs w:val="16"/>
              </w:rPr>
              <w:t>Mated</w:t>
            </w:r>
          </w:p>
          <w:p w14:paraId="260D88F4" w14:textId="77777777" w:rsidR="00794F79" w:rsidRDefault="00794F79" w:rsidP="00D86274">
            <w:pPr>
              <w:spacing w:after="0"/>
              <w:jc w:val="center"/>
              <w:rPr>
                <w:rFonts w:cs="Arial"/>
                <w:sz w:val="10"/>
                <w:szCs w:val="16"/>
              </w:rPr>
            </w:pPr>
            <w:r>
              <w:rPr>
                <w:rFonts w:cs="Arial"/>
                <w:sz w:val="10"/>
                <w:szCs w:val="16"/>
              </w:rPr>
              <w:t>Email</w:t>
            </w:r>
          </w:p>
          <w:p w14:paraId="704BCCC8" w14:textId="77777777" w:rsidR="00794F79" w:rsidRDefault="00794F79" w:rsidP="00D86274">
            <w:pPr>
              <w:spacing w:after="0"/>
              <w:jc w:val="center"/>
              <w:rPr>
                <w:rFonts w:cs="Arial"/>
                <w:sz w:val="10"/>
                <w:szCs w:val="16"/>
              </w:rPr>
            </w:pPr>
            <w:r>
              <w:rPr>
                <w:rFonts w:cs="Arial"/>
                <w:sz w:val="10"/>
                <w:szCs w:val="16"/>
              </w:rPr>
              <w:t>Respo-</w:t>
            </w:r>
          </w:p>
          <w:p w14:paraId="1733633A" w14:textId="26FC1430" w:rsidR="00794F79" w:rsidRPr="00D86274" w:rsidRDefault="00794F79" w:rsidP="00D86274">
            <w:pPr>
              <w:spacing w:after="0"/>
              <w:jc w:val="center"/>
              <w:rPr>
                <w:rFonts w:cs="Arial"/>
                <w:sz w:val="10"/>
                <w:szCs w:val="16"/>
              </w:rPr>
            </w:pPr>
            <w:r>
              <w:rPr>
                <w:rFonts w:cs="Arial"/>
                <w:sz w:val="10"/>
                <w:szCs w:val="16"/>
              </w:rPr>
              <w:t>nse</w:t>
            </w:r>
          </w:p>
        </w:tc>
      </w:tr>
      <w:tr w:rsidR="00794F79" w:rsidRPr="00BC665D" w14:paraId="2F5529EC" w14:textId="77777777" w:rsidTr="00794F79">
        <w:trPr>
          <w:trHeight w:val="606"/>
          <w:tblCellSpacing w:w="20" w:type="dxa"/>
        </w:trPr>
        <w:tc>
          <w:tcPr>
            <w:tcW w:w="874" w:type="dxa"/>
            <w:vAlign w:val="center"/>
          </w:tcPr>
          <w:p w14:paraId="2DA725A3" w14:textId="77777777" w:rsidR="00794F79" w:rsidRPr="00D86274" w:rsidRDefault="00794F79" w:rsidP="00D758F0">
            <w:pPr>
              <w:spacing w:after="0"/>
              <w:jc w:val="center"/>
              <w:rPr>
                <w:rFonts w:cs="Arial"/>
                <w:b/>
                <w:sz w:val="10"/>
                <w:szCs w:val="16"/>
              </w:rPr>
            </w:pPr>
            <w:r w:rsidRPr="00D86274">
              <w:rPr>
                <w:rFonts w:cs="Arial"/>
                <w:b/>
                <w:sz w:val="10"/>
                <w:szCs w:val="16"/>
              </w:rPr>
              <w:t>Remedial Engineer Actions Commence</w:t>
            </w:r>
          </w:p>
        </w:tc>
        <w:tc>
          <w:tcPr>
            <w:tcW w:w="637" w:type="dxa"/>
            <w:shd w:val="clear" w:color="auto" w:fill="FFFFFF" w:themeFill="background1"/>
            <w:vAlign w:val="center"/>
          </w:tcPr>
          <w:p w14:paraId="005BBC1B" w14:textId="54F6E864" w:rsidR="00794F79" w:rsidRPr="00D86274" w:rsidRDefault="00794F79" w:rsidP="00D758F0">
            <w:pPr>
              <w:spacing w:after="0"/>
              <w:jc w:val="center"/>
              <w:rPr>
                <w:rFonts w:cs="Arial"/>
                <w:sz w:val="10"/>
                <w:szCs w:val="16"/>
              </w:rPr>
            </w:pPr>
            <w:r w:rsidRPr="00D86274">
              <w:rPr>
                <w:rFonts w:cs="Arial"/>
                <w:sz w:val="10"/>
                <w:szCs w:val="16"/>
              </w:rPr>
              <w:t>2 Hours</w:t>
            </w:r>
          </w:p>
        </w:tc>
        <w:tc>
          <w:tcPr>
            <w:tcW w:w="567" w:type="dxa"/>
            <w:shd w:val="clear" w:color="auto" w:fill="FFFFFF" w:themeFill="background1"/>
            <w:vAlign w:val="center"/>
          </w:tcPr>
          <w:p w14:paraId="5A4BFBC6" w14:textId="77777777" w:rsidR="00794F79" w:rsidRPr="00D86274" w:rsidRDefault="00794F79" w:rsidP="00D758F0">
            <w:pPr>
              <w:spacing w:after="0"/>
              <w:jc w:val="center"/>
              <w:rPr>
                <w:rFonts w:cs="Arial"/>
                <w:sz w:val="10"/>
                <w:szCs w:val="16"/>
              </w:rPr>
            </w:pPr>
            <w:r w:rsidRPr="00D86274">
              <w:rPr>
                <w:rFonts w:cs="Arial"/>
                <w:sz w:val="10"/>
                <w:szCs w:val="16"/>
              </w:rPr>
              <w:t>2 Hours</w:t>
            </w:r>
          </w:p>
        </w:tc>
        <w:tc>
          <w:tcPr>
            <w:tcW w:w="567" w:type="dxa"/>
            <w:shd w:val="clear" w:color="auto" w:fill="FFFFFF" w:themeFill="background1"/>
            <w:vAlign w:val="center"/>
          </w:tcPr>
          <w:p w14:paraId="3006BBF7" w14:textId="1D1540C2" w:rsidR="00794F79" w:rsidRPr="00D86274" w:rsidRDefault="00794F79" w:rsidP="00D758F0">
            <w:pPr>
              <w:spacing w:after="0"/>
              <w:jc w:val="center"/>
              <w:rPr>
                <w:rFonts w:cs="Arial"/>
                <w:sz w:val="10"/>
                <w:szCs w:val="16"/>
              </w:rPr>
            </w:pPr>
            <w:r w:rsidRPr="00D86274">
              <w:rPr>
                <w:rFonts w:cs="Arial"/>
                <w:sz w:val="10"/>
                <w:szCs w:val="16"/>
              </w:rPr>
              <w:t>N/A</w:t>
            </w:r>
          </w:p>
        </w:tc>
        <w:tc>
          <w:tcPr>
            <w:tcW w:w="567" w:type="dxa"/>
            <w:shd w:val="clear" w:color="auto" w:fill="FFFFFF" w:themeFill="background1"/>
            <w:vAlign w:val="center"/>
          </w:tcPr>
          <w:p w14:paraId="0D65BD36" w14:textId="4E92B0DD" w:rsidR="00794F79" w:rsidRPr="00D86274" w:rsidRDefault="00794F79" w:rsidP="00D758F0">
            <w:pPr>
              <w:spacing w:after="0"/>
              <w:jc w:val="center"/>
              <w:rPr>
                <w:rFonts w:cs="Arial"/>
                <w:sz w:val="10"/>
                <w:szCs w:val="16"/>
              </w:rPr>
            </w:pPr>
            <w:r w:rsidRPr="00D86274">
              <w:rPr>
                <w:rFonts w:cs="Arial"/>
                <w:sz w:val="10"/>
                <w:szCs w:val="16"/>
              </w:rPr>
              <w:t>N/A</w:t>
            </w:r>
          </w:p>
        </w:tc>
        <w:tc>
          <w:tcPr>
            <w:tcW w:w="577" w:type="dxa"/>
            <w:shd w:val="clear" w:color="auto" w:fill="FFFFFF" w:themeFill="background1"/>
            <w:vAlign w:val="center"/>
          </w:tcPr>
          <w:p w14:paraId="1318893A" w14:textId="77777777" w:rsidR="00794F79" w:rsidRPr="00D86274" w:rsidRDefault="00794F79" w:rsidP="00D758F0">
            <w:pPr>
              <w:spacing w:after="0"/>
              <w:jc w:val="center"/>
              <w:rPr>
                <w:rFonts w:cs="Arial"/>
                <w:sz w:val="10"/>
                <w:szCs w:val="16"/>
              </w:rPr>
            </w:pPr>
            <w:r w:rsidRPr="00D86274">
              <w:rPr>
                <w:rFonts w:cs="Arial"/>
                <w:sz w:val="10"/>
                <w:szCs w:val="16"/>
              </w:rPr>
              <w:t>N/A</w:t>
            </w:r>
          </w:p>
        </w:tc>
      </w:tr>
      <w:tr w:rsidR="00794F79" w:rsidRPr="00BC665D" w14:paraId="22D73CB9" w14:textId="77777777" w:rsidTr="00794F79">
        <w:trPr>
          <w:trHeight w:val="475"/>
          <w:tblCellSpacing w:w="20" w:type="dxa"/>
        </w:trPr>
        <w:tc>
          <w:tcPr>
            <w:tcW w:w="874" w:type="dxa"/>
            <w:shd w:val="clear" w:color="auto" w:fill="ADAFAF" w:themeFill="text2"/>
            <w:vAlign w:val="center"/>
          </w:tcPr>
          <w:p w14:paraId="42329940" w14:textId="77777777" w:rsidR="00794F79" w:rsidRPr="00D86274" w:rsidRDefault="00794F79" w:rsidP="00D758F0">
            <w:pPr>
              <w:spacing w:after="0"/>
              <w:jc w:val="center"/>
              <w:rPr>
                <w:rFonts w:cs="Arial"/>
                <w:b/>
                <w:sz w:val="10"/>
                <w:szCs w:val="16"/>
              </w:rPr>
            </w:pPr>
            <w:r w:rsidRPr="00D86274">
              <w:rPr>
                <w:rFonts w:cs="Arial"/>
                <w:b/>
                <w:sz w:val="10"/>
                <w:szCs w:val="16"/>
              </w:rPr>
              <w:t>Time to Resolve Fault**</w:t>
            </w:r>
          </w:p>
        </w:tc>
        <w:tc>
          <w:tcPr>
            <w:tcW w:w="637" w:type="dxa"/>
            <w:shd w:val="clear" w:color="auto" w:fill="ADAFAF" w:themeFill="text2"/>
            <w:vAlign w:val="center"/>
          </w:tcPr>
          <w:p w14:paraId="2A2DFC80" w14:textId="77777777" w:rsidR="00794F79" w:rsidRPr="00D86274" w:rsidRDefault="00794F79" w:rsidP="00D758F0">
            <w:pPr>
              <w:spacing w:after="0"/>
              <w:jc w:val="center"/>
              <w:rPr>
                <w:rFonts w:cs="Arial"/>
                <w:sz w:val="10"/>
                <w:szCs w:val="16"/>
              </w:rPr>
            </w:pPr>
            <w:r w:rsidRPr="00D86274">
              <w:rPr>
                <w:rFonts w:cs="Arial"/>
                <w:sz w:val="10"/>
                <w:szCs w:val="16"/>
              </w:rPr>
              <w:t>5 Hours</w:t>
            </w:r>
          </w:p>
        </w:tc>
        <w:tc>
          <w:tcPr>
            <w:tcW w:w="567" w:type="dxa"/>
            <w:shd w:val="clear" w:color="auto" w:fill="ADAFAF" w:themeFill="text2"/>
            <w:vAlign w:val="center"/>
          </w:tcPr>
          <w:p w14:paraId="413C8295" w14:textId="77777777" w:rsidR="00794F79" w:rsidRPr="00D86274" w:rsidRDefault="00794F79" w:rsidP="00D758F0">
            <w:pPr>
              <w:spacing w:after="0"/>
              <w:jc w:val="center"/>
              <w:rPr>
                <w:rFonts w:cs="Arial"/>
                <w:sz w:val="10"/>
                <w:szCs w:val="16"/>
              </w:rPr>
            </w:pPr>
            <w:r w:rsidRPr="00D86274">
              <w:rPr>
                <w:rFonts w:cs="Arial"/>
                <w:sz w:val="10"/>
                <w:szCs w:val="16"/>
              </w:rPr>
              <w:t>5 Hours</w:t>
            </w:r>
          </w:p>
        </w:tc>
        <w:tc>
          <w:tcPr>
            <w:tcW w:w="567" w:type="dxa"/>
            <w:shd w:val="clear" w:color="auto" w:fill="ADAFAF" w:themeFill="text2"/>
            <w:vAlign w:val="center"/>
          </w:tcPr>
          <w:p w14:paraId="496A5DED" w14:textId="71D33B96" w:rsidR="00794F79" w:rsidRPr="00D86274" w:rsidRDefault="00794F79" w:rsidP="00D758F0">
            <w:pPr>
              <w:spacing w:after="0"/>
              <w:jc w:val="center"/>
              <w:rPr>
                <w:rFonts w:cs="Arial"/>
                <w:sz w:val="10"/>
                <w:szCs w:val="16"/>
              </w:rPr>
            </w:pPr>
            <w:r w:rsidRPr="00D86274">
              <w:rPr>
                <w:rFonts w:cs="Arial"/>
                <w:sz w:val="10"/>
                <w:szCs w:val="16"/>
              </w:rPr>
              <w:t>N/A</w:t>
            </w:r>
          </w:p>
        </w:tc>
        <w:tc>
          <w:tcPr>
            <w:tcW w:w="567" w:type="dxa"/>
            <w:shd w:val="clear" w:color="auto" w:fill="ADAFAF" w:themeFill="text2"/>
            <w:vAlign w:val="center"/>
          </w:tcPr>
          <w:p w14:paraId="10A23819" w14:textId="600857C6" w:rsidR="00794F79" w:rsidRPr="00D86274" w:rsidRDefault="00794F79" w:rsidP="00D758F0">
            <w:pPr>
              <w:spacing w:after="0"/>
              <w:jc w:val="center"/>
              <w:rPr>
                <w:rFonts w:cs="Arial"/>
                <w:sz w:val="10"/>
                <w:szCs w:val="16"/>
              </w:rPr>
            </w:pPr>
            <w:r w:rsidRPr="00D86274">
              <w:rPr>
                <w:rFonts w:cs="Arial"/>
                <w:sz w:val="10"/>
                <w:szCs w:val="16"/>
              </w:rPr>
              <w:t>N/A</w:t>
            </w:r>
          </w:p>
        </w:tc>
        <w:tc>
          <w:tcPr>
            <w:tcW w:w="577" w:type="dxa"/>
            <w:shd w:val="clear" w:color="auto" w:fill="ADAFAF" w:themeFill="text2"/>
            <w:vAlign w:val="center"/>
          </w:tcPr>
          <w:p w14:paraId="7DF10845" w14:textId="10C5EC78" w:rsidR="00794F79" w:rsidRPr="00D86274" w:rsidRDefault="00794F79" w:rsidP="00D758F0">
            <w:pPr>
              <w:spacing w:after="0"/>
              <w:jc w:val="center"/>
              <w:rPr>
                <w:rFonts w:cs="Arial"/>
                <w:sz w:val="10"/>
                <w:szCs w:val="16"/>
              </w:rPr>
            </w:pPr>
            <w:r w:rsidRPr="00D86274">
              <w:rPr>
                <w:rFonts w:cs="Arial"/>
                <w:sz w:val="10"/>
                <w:szCs w:val="16"/>
              </w:rPr>
              <w:t>N/A</w:t>
            </w:r>
          </w:p>
        </w:tc>
      </w:tr>
    </w:tbl>
    <w:p w14:paraId="11564A63" w14:textId="77777777" w:rsidR="00794F79" w:rsidRDefault="00794F79" w:rsidP="003B1747"/>
    <w:p w14:paraId="3F36703E" w14:textId="7D611B03" w:rsidR="003B1747" w:rsidRDefault="003B1747" w:rsidP="003B1747">
      <w:r>
        <w:t xml:space="preserve">Hours of response is dependent on Service Level (Bronze, Silver, Silver Plus, Gold). </w:t>
      </w:r>
    </w:p>
    <w:p w14:paraId="267CC83A" w14:textId="77777777" w:rsidR="003B1747" w:rsidRDefault="003B1747" w:rsidP="003B1747">
      <w:r>
        <w:t>All priority 1 &amp; 2 faults should be raised via the tickets system then followed by a phone call.</w:t>
      </w:r>
    </w:p>
    <w:p w14:paraId="1C1A1A69" w14:textId="77777777" w:rsidR="003B1747" w:rsidRDefault="003B1747" w:rsidP="003B1747">
      <w:r>
        <w:t>* Acknowledgement refers to an automated service which generates a response and alerts engineers of a service failure; or where there is dialogue between the client and the engineer.</w:t>
      </w:r>
    </w:p>
    <w:p w14:paraId="3B1C2364" w14:textId="3073F09B" w:rsidR="003B1747" w:rsidRDefault="003B1747" w:rsidP="003B1747">
      <w:r>
        <w:t xml:space="preserve"> ** Node4 will use reasonable endeavours to adhere to the TTRF guidelines. Where fault resolution involves third parties, or hardware replacement, then this is subject to the support contracts in place with those parties.</w:t>
      </w:r>
    </w:p>
    <w:p w14:paraId="0AA04CA2" w14:textId="48EA9C84" w:rsidR="003B1747" w:rsidRDefault="00794F79" w:rsidP="003B1747">
      <w:pPr>
        <w:pStyle w:val="Heading3"/>
      </w:pPr>
      <w:r>
        <w:t xml:space="preserve"> Fault d</w:t>
      </w:r>
      <w:r w:rsidR="003B1747">
        <w:t>uration</w:t>
      </w:r>
    </w:p>
    <w:p w14:paraId="42A89AAC" w14:textId="77777777" w:rsidR="003B1747" w:rsidRDefault="003B1747" w:rsidP="003B1747">
      <w:r>
        <w:t xml:space="preserve">All faults recorded by the Network Management System will be reconciled against the corresponding Fault Ticket Number raised by the Technical Support Centre. The exact fault duration will be calculated as the elapsed time between the fault being reported to the Technical Support Centre and the time when Service is restored. </w:t>
      </w:r>
    </w:p>
    <w:p w14:paraId="59429EAF" w14:textId="1AB03B2F" w:rsidR="003B1747" w:rsidRDefault="00794F79" w:rsidP="003B1747">
      <w:pPr>
        <w:pStyle w:val="Heading2"/>
      </w:pPr>
      <w:r>
        <w:t>Service c</w:t>
      </w:r>
      <w:r w:rsidR="003B1747">
        <w:t>redits</w:t>
      </w:r>
    </w:p>
    <w:p w14:paraId="6BCE967C" w14:textId="77777777" w:rsidR="003B1747" w:rsidRDefault="003B1747" w:rsidP="003B1747">
      <w:r>
        <w:t xml:space="preserve">Node4 will provide the Customer with service credits, as set out below, for the failure to meet the following targets: </w:t>
      </w:r>
    </w:p>
    <w:p w14:paraId="6F6FF700" w14:textId="5050218D" w:rsidR="003B1747" w:rsidRDefault="00794F79" w:rsidP="003B1747">
      <w:pPr>
        <w:pStyle w:val="Heading3"/>
      </w:pPr>
      <w:r>
        <w:t xml:space="preserve"> Power a</w:t>
      </w:r>
      <w:r w:rsidR="003B1747">
        <w:t xml:space="preserve">vailability </w:t>
      </w:r>
    </w:p>
    <w:p w14:paraId="3563A0D4" w14:textId="77777777" w:rsidR="003B1747" w:rsidRDefault="003B1747" w:rsidP="003B1747">
      <w:r>
        <w:t xml:space="preserve">The Service is “available” when the data centre is powered. Power downtime would be in the event of power failure of all supplies available to the equipment within the Node4 data centre. Where a Customer has not opted for dual power feeds no downtime would be attributable. If power failure is caused by customer exceeding their power allowance or connection of faulty equipment resulting in breaker tripping no downtime would be attributable. </w:t>
      </w:r>
    </w:p>
    <w:p w14:paraId="4A1DB929" w14:textId="0E57706C" w:rsidR="003B1747" w:rsidRDefault="00794F79" w:rsidP="003B1747">
      <w:pPr>
        <w:pStyle w:val="Heading3"/>
      </w:pPr>
      <w:r>
        <w:t xml:space="preserve"> Cooling a</w:t>
      </w:r>
      <w:r w:rsidR="003B1747">
        <w:t xml:space="preserve">vailability </w:t>
      </w:r>
    </w:p>
    <w:p w14:paraId="7155330E" w14:textId="77777777" w:rsidR="003B1747" w:rsidRDefault="003B1747" w:rsidP="003B1747">
      <w:r>
        <w:t>Node4 operate Data Centre halls in accordance with ASHRAE Class 1A Recommended Envelope Thermal Guidelines 2011.</w:t>
      </w:r>
    </w:p>
    <w:p w14:paraId="6C94A621" w14:textId="77777777" w:rsidR="003B1747" w:rsidRDefault="003B1747" w:rsidP="003B1747">
      <w:r>
        <w:t>The service is “available” when the:</w:t>
      </w:r>
    </w:p>
    <w:p w14:paraId="222F3B75" w14:textId="19A2D9B7" w:rsidR="003B1747" w:rsidRDefault="003B1747" w:rsidP="003B1747">
      <w:pPr>
        <w:pStyle w:val="ListParagraph"/>
      </w:pPr>
      <w:r>
        <w:t>Data Centre Cold Aisle Temperature is 18ºC to 27ºC</w:t>
      </w:r>
    </w:p>
    <w:p w14:paraId="738A2C64" w14:textId="0908C1C3" w:rsidR="003B1747" w:rsidRDefault="003B1747" w:rsidP="003B1747">
      <w:pPr>
        <w:pStyle w:val="ListParagraph"/>
      </w:pPr>
      <w:r>
        <w:t>Data Centre room humidity of 5.5ºC Dew Point to 60% RH and 15ºC Dew Point</w:t>
      </w:r>
    </w:p>
    <w:p w14:paraId="16D5E6A0" w14:textId="77777777" w:rsidR="003B1747" w:rsidRDefault="003B1747" w:rsidP="003B1747">
      <w:r>
        <w:t xml:space="preserve">Both temperature and humidity are average measures taken hourly from multiple sensors </w:t>
      </w:r>
      <w:r>
        <w:lastRenderedPageBreak/>
        <w:t>positioned at the top of the cold aisles.  Node4 will monitor, but is not required to report to Customer on, environmenta</w:t>
      </w:r>
      <w:bookmarkStart w:id="0" w:name="_GoBack"/>
      <w:bookmarkEnd w:id="0"/>
      <w:r>
        <w:t>l conditions in the Facility.</w:t>
      </w:r>
    </w:p>
    <w:p w14:paraId="26FD49FD" w14:textId="6496947B" w:rsidR="003B1747" w:rsidRDefault="00794F79" w:rsidP="003B1747">
      <w:pPr>
        <w:pStyle w:val="Heading3"/>
      </w:pPr>
      <w:r>
        <w:t xml:space="preserve"> Power and cooling service c</w:t>
      </w:r>
      <w:r w:rsidR="003B1747">
        <w:t>redits</w:t>
      </w:r>
    </w:p>
    <w:p w14:paraId="5E0C3BC9" w14:textId="77777777" w:rsidR="003B1747" w:rsidRDefault="003B1747" w:rsidP="003B1747">
      <w:r>
        <w:t xml:space="preserve">The following equation will be used to calculate Service Availability. References to hours are to the number of hours in the applicable Monthly Review Period: </w:t>
      </w:r>
    </w:p>
    <w:p w14:paraId="6AE24891" w14:textId="165E75CC" w:rsidR="003B1747" w:rsidRPr="003B1747" w:rsidRDefault="003B1747" w:rsidP="003B1747">
      <w:pPr>
        <w:rPr>
          <w:b/>
        </w:rPr>
      </w:pPr>
      <w:r w:rsidRPr="003B1747">
        <w:rPr>
          <w:b/>
        </w:rPr>
        <w:t>((Total hours - Total hours Unavailable)/Total hours) x 100).</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31"/>
        <w:gridCol w:w="2268"/>
      </w:tblGrid>
      <w:tr w:rsidR="003B1747" w:rsidRPr="00BC665D" w14:paraId="47B0FCE9" w14:textId="77777777" w:rsidTr="003B1747">
        <w:trPr>
          <w:trHeight w:val="620"/>
          <w:tblCellSpacing w:w="20" w:type="dxa"/>
        </w:trPr>
        <w:tc>
          <w:tcPr>
            <w:tcW w:w="2471" w:type="dxa"/>
            <w:shd w:val="clear" w:color="auto" w:fill="323232" w:themeFill="text1"/>
            <w:vAlign w:val="bottom"/>
          </w:tcPr>
          <w:p w14:paraId="6C2A195C" w14:textId="071F5A85" w:rsidR="003B1747" w:rsidRPr="00713767" w:rsidRDefault="003B1747" w:rsidP="00D758F0">
            <w:pPr>
              <w:jc w:val="center"/>
              <w:rPr>
                <w:rFonts w:cs="Arial"/>
                <w:b/>
                <w:color w:val="FFFFFF"/>
                <w:sz w:val="14"/>
                <w:szCs w:val="16"/>
              </w:rPr>
            </w:pPr>
            <w:r>
              <w:rPr>
                <w:rFonts w:cs="Arial"/>
                <w:b/>
                <w:color w:val="FFFFFF"/>
                <w:sz w:val="14"/>
                <w:szCs w:val="16"/>
              </w:rPr>
              <w:t>Service Availability During Monthly Review Period (Switch Service)</w:t>
            </w:r>
          </w:p>
        </w:tc>
        <w:tc>
          <w:tcPr>
            <w:tcW w:w="2208" w:type="dxa"/>
            <w:shd w:val="clear" w:color="auto" w:fill="323232" w:themeFill="text1"/>
            <w:vAlign w:val="center"/>
          </w:tcPr>
          <w:p w14:paraId="261BDA0E" w14:textId="2FF01072" w:rsidR="003B1747" w:rsidRPr="00713767" w:rsidRDefault="003B1747" w:rsidP="00D758F0">
            <w:pPr>
              <w:jc w:val="center"/>
              <w:rPr>
                <w:rFonts w:cs="Arial"/>
                <w:b/>
                <w:color w:val="FFFFFF"/>
                <w:sz w:val="14"/>
                <w:szCs w:val="16"/>
              </w:rPr>
            </w:pPr>
            <w:r>
              <w:rPr>
                <w:rFonts w:cs="Arial"/>
                <w:b/>
                <w:color w:val="FFFFFF"/>
                <w:sz w:val="14"/>
                <w:szCs w:val="16"/>
              </w:rPr>
              <w:t>Service Credits as % of Monthly Rental Fee (Excluding Power)</w:t>
            </w:r>
          </w:p>
        </w:tc>
      </w:tr>
      <w:tr w:rsidR="003B1747" w:rsidRPr="00BC665D" w14:paraId="175A1C89" w14:textId="77777777" w:rsidTr="003B1747">
        <w:trPr>
          <w:tblCellSpacing w:w="20" w:type="dxa"/>
        </w:trPr>
        <w:tc>
          <w:tcPr>
            <w:tcW w:w="2471" w:type="dxa"/>
            <w:shd w:val="clear" w:color="auto" w:fill="ADAFAF" w:themeFill="text2"/>
          </w:tcPr>
          <w:p w14:paraId="09ECBE39" w14:textId="2D634164" w:rsidR="003B1747" w:rsidRPr="003B1747" w:rsidRDefault="003B1747" w:rsidP="003B1747">
            <w:pPr>
              <w:jc w:val="center"/>
              <w:rPr>
                <w:rFonts w:cs="Arial"/>
                <w:sz w:val="14"/>
                <w:szCs w:val="16"/>
              </w:rPr>
            </w:pPr>
            <w:r w:rsidRPr="003B1747">
              <w:rPr>
                <w:rFonts w:cs="Arial"/>
                <w:sz w:val="14"/>
                <w:szCs w:val="16"/>
              </w:rPr>
              <w:t>&lt;99.9% - 99.8%</w:t>
            </w:r>
          </w:p>
        </w:tc>
        <w:tc>
          <w:tcPr>
            <w:tcW w:w="2208" w:type="dxa"/>
            <w:shd w:val="clear" w:color="auto" w:fill="ADAFAF" w:themeFill="text2"/>
          </w:tcPr>
          <w:p w14:paraId="5A4A4C93" w14:textId="54E82D4A" w:rsidR="003B1747" w:rsidRPr="00713767" w:rsidRDefault="003B1747" w:rsidP="003B1747">
            <w:pPr>
              <w:jc w:val="center"/>
              <w:rPr>
                <w:rFonts w:cs="Arial"/>
                <w:sz w:val="14"/>
                <w:szCs w:val="16"/>
              </w:rPr>
            </w:pPr>
            <w:r>
              <w:rPr>
                <w:rFonts w:cs="Arial"/>
                <w:sz w:val="14"/>
                <w:szCs w:val="16"/>
              </w:rPr>
              <w:t>10%</w:t>
            </w:r>
          </w:p>
        </w:tc>
      </w:tr>
      <w:tr w:rsidR="003B1747" w:rsidRPr="00BC665D" w14:paraId="290EC505" w14:textId="77777777" w:rsidTr="003B1747">
        <w:trPr>
          <w:tblCellSpacing w:w="20" w:type="dxa"/>
        </w:trPr>
        <w:tc>
          <w:tcPr>
            <w:tcW w:w="2471" w:type="dxa"/>
          </w:tcPr>
          <w:p w14:paraId="2425FB45" w14:textId="53D05904" w:rsidR="003B1747" w:rsidRPr="003B1747" w:rsidRDefault="003B1747" w:rsidP="003B1747">
            <w:pPr>
              <w:jc w:val="center"/>
              <w:rPr>
                <w:rFonts w:cs="Arial"/>
                <w:sz w:val="14"/>
                <w:szCs w:val="16"/>
              </w:rPr>
            </w:pPr>
            <w:r w:rsidRPr="003B1747">
              <w:rPr>
                <w:rFonts w:cs="Arial"/>
                <w:sz w:val="14"/>
                <w:szCs w:val="16"/>
              </w:rPr>
              <w:t>&lt;99.8% - 99.5%</w:t>
            </w:r>
          </w:p>
        </w:tc>
        <w:tc>
          <w:tcPr>
            <w:tcW w:w="2208" w:type="dxa"/>
          </w:tcPr>
          <w:p w14:paraId="602547ED" w14:textId="6A1E4B85" w:rsidR="003B1747" w:rsidRPr="00713767" w:rsidRDefault="003B1747" w:rsidP="003B1747">
            <w:pPr>
              <w:jc w:val="center"/>
              <w:rPr>
                <w:rFonts w:cs="Arial"/>
                <w:sz w:val="14"/>
                <w:szCs w:val="16"/>
              </w:rPr>
            </w:pPr>
            <w:r>
              <w:rPr>
                <w:rFonts w:cs="Arial"/>
                <w:sz w:val="14"/>
                <w:szCs w:val="16"/>
              </w:rPr>
              <w:t>20%</w:t>
            </w:r>
          </w:p>
        </w:tc>
      </w:tr>
      <w:tr w:rsidR="003B1747" w:rsidRPr="00BC665D" w14:paraId="46FDB47A" w14:textId="77777777" w:rsidTr="003B1747">
        <w:trPr>
          <w:tblCellSpacing w:w="20" w:type="dxa"/>
        </w:trPr>
        <w:tc>
          <w:tcPr>
            <w:tcW w:w="2471" w:type="dxa"/>
            <w:shd w:val="clear" w:color="auto" w:fill="ADAFAF" w:themeFill="text2"/>
          </w:tcPr>
          <w:p w14:paraId="36A91A3F" w14:textId="779C5CCB" w:rsidR="003B1747" w:rsidRPr="003B1747" w:rsidRDefault="003B1747" w:rsidP="003B1747">
            <w:pPr>
              <w:jc w:val="center"/>
              <w:rPr>
                <w:rFonts w:cs="Arial"/>
                <w:sz w:val="14"/>
                <w:szCs w:val="16"/>
              </w:rPr>
            </w:pPr>
            <w:r w:rsidRPr="003B1747">
              <w:rPr>
                <w:rFonts w:cs="Arial"/>
                <w:sz w:val="14"/>
                <w:szCs w:val="16"/>
              </w:rPr>
              <w:t>&lt;99.5% - 99.0%</w:t>
            </w:r>
          </w:p>
        </w:tc>
        <w:tc>
          <w:tcPr>
            <w:tcW w:w="2208" w:type="dxa"/>
            <w:shd w:val="clear" w:color="auto" w:fill="ADAFAF" w:themeFill="text2"/>
          </w:tcPr>
          <w:p w14:paraId="1060BD07" w14:textId="27440CC7" w:rsidR="003B1747" w:rsidRPr="00713767" w:rsidRDefault="003B1747" w:rsidP="003B1747">
            <w:pPr>
              <w:jc w:val="center"/>
              <w:rPr>
                <w:rFonts w:cs="Arial"/>
                <w:sz w:val="14"/>
                <w:szCs w:val="16"/>
              </w:rPr>
            </w:pPr>
            <w:r>
              <w:rPr>
                <w:rFonts w:cs="Arial"/>
                <w:sz w:val="14"/>
                <w:szCs w:val="16"/>
              </w:rPr>
              <w:t>30%</w:t>
            </w:r>
          </w:p>
        </w:tc>
      </w:tr>
      <w:tr w:rsidR="003B1747" w:rsidRPr="00BC665D" w14:paraId="0F919708" w14:textId="77777777" w:rsidTr="003B1747">
        <w:trPr>
          <w:tblCellSpacing w:w="20" w:type="dxa"/>
        </w:trPr>
        <w:tc>
          <w:tcPr>
            <w:tcW w:w="2471" w:type="dxa"/>
          </w:tcPr>
          <w:p w14:paraId="0E017C0C" w14:textId="44A0BCAD" w:rsidR="003B1747" w:rsidRPr="003B1747" w:rsidRDefault="003B1747" w:rsidP="003B1747">
            <w:pPr>
              <w:jc w:val="center"/>
              <w:rPr>
                <w:rFonts w:cs="Arial"/>
                <w:sz w:val="14"/>
                <w:szCs w:val="16"/>
              </w:rPr>
            </w:pPr>
            <w:r w:rsidRPr="003B1747">
              <w:rPr>
                <w:rFonts w:cs="Arial"/>
                <w:sz w:val="14"/>
                <w:szCs w:val="16"/>
              </w:rPr>
              <w:t>&lt;99.0% - 98.0%</w:t>
            </w:r>
          </w:p>
        </w:tc>
        <w:tc>
          <w:tcPr>
            <w:tcW w:w="2208" w:type="dxa"/>
          </w:tcPr>
          <w:p w14:paraId="6A009606" w14:textId="78AAF180" w:rsidR="003B1747" w:rsidRPr="00713767" w:rsidRDefault="003B1747" w:rsidP="003B1747">
            <w:pPr>
              <w:jc w:val="center"/>
              <w:rPr>
                <w:rFonts w:cs="Arial"/>
                <w:sz w:val="14"/>
                <w:szCs w:val="16"/>
              </w:rPr>
            </w:pPr>
            <w:r>
              <w:rPr>
                <w:rFonts w:cs="Arial"/>
                <w:sz w:val="14"/>
                <w:szCs w:val="16"/>
              </w:rPr>
              <w:t>40%</w:t>
            </w:r>
          </w:p>
        </w:tc>
      </w:tr>
      <w:tr w:rsidR="003B1747" w:rsidRPr="00BC665D" w14:paraId="143E0A66" w14:textId="77777777" w:rsidTr="003B1747">
        <w:trPr>
          <w:tblCellSpacing w:w="20" w:type="dxa"/>
        </w:trPr>
        <w:tc>
          <w:tcPr>
            <w:tcW w:w="2471" w:type="dxa"/>
            <w:shd w:val="clear" w:color="auto" w:fill="A6A6A6" w:themeFill="background1" w:themeFillShade="A6"/>
          </w:tcPr>
          <w:p w14:paraId="7514AB6D" w14:textId="503D5BFA" w:rsidR="003B1747" w:rsidRPr="003B1747" w:rsidRDefault="003B1747" w:rsidP="003B1747">
            <w:pPr>
              <w:jc w:val="center"/>
              <w:rPr>
                <w:rFonts w:cs="Arial"/>
                <w:sz w:val="14"/>
                <w:szCs w:val="16"/>
              </w:rPr>
            </w:pPr>
            <w:r w:rsidRPr="003B1747">
              <w:rPr>
                <w:rFonts w:cs="Arial"/>
                <w:sz w:val="14"/>
                <w:szCs w:val="16"/>
              </w:rPr>
              <w:t>&lt;98</w:t>
            </w:r>
            <w:r>
              <w:rPr>
                <w:rFonts w:cs="Arial"/>
                <w:sz w:val="14"/>
                <w:szCs w:val="16"/>
              </w:rPr>
              <w:t>.0</w:t>
            </w:r>
            <w:r w:rsidRPr="003B1747">
              <w:rPr>
                <w:rFonts w:cs="Arial"/>
                <w:sz w:val="14"/>
                <w:szCs w:val="16"/>
              </w:rPr>
              <w:t>%</w:t>
            </w:r>
          </w:p>
        </w:tc>
        <w:tc>
          <w:tcPr>
            <w:tcW w:w="2208" w:type="dxa"/>
            <w:shd w:val="clear" w:color="auto" w:fill="A6A6A6" w:themeFill="background1" w:themeFillShade="A6"/>
          </w:tcPr>
          <w:p w14:paraId="350176F9" w14:textId="50FFB914" w:rsidR="003B1747" w:rsidRPr="00713767" w:rsidRDefault="003B1747" w:rsidP="003B1747">
            <w:pPr>
              <w:jc w:val="center"/>
              <w:rPr>
                <w:rFonts w:cs="Arial"/>
                <w:sz w:val="14"/>
                <w:szCs w:val="16"/>
              </w:rPr>
            </w:pPr>
            <w:r>
              <w:rPr>
                <w:rFonts w:cs="Arial"/>
                <w:sz w:val="14"/>
                <w:szCs w:val="16"/>
              </w:rPr>
              <w:t>50%</w:t>
            </w:r>
          </w:p>
        </w:tc>
      </w:tr>
    </w:tbl>
    <w:p w14:paraId="5A7AF925" w14:textId="5FD27CD0" w:rsidR="003B1747" w:rsidRPr="003B1747" w:rsidRDefault="003B1747" w:rsidP="003B1747">
      <w:pPr>
        <w:pStyle w:val="Heading3"/>
      </w:pPr>
      <w:r>
        <w:t xml:space="preserve"> </w:t>
      </w:r>
      <w:r w:rsidR="00394738">
        <w:t>Network service a</w:t>
      </w:r>
      <w:r w:rsidRPr="003B1747">
        <w:t xml:space="preserve">vailability (only where Node4 provides Internet Connectivity) </w:t>
      </w:r>
    </w:p>
    <w:p w14:paraId="3AB4E5F8" w14:textId="77777777" w:rsidR="003B1747" w:rsidRPr="003B1747" w:rsidRDefault="003B1747" w:rsidP="003B1747">
      <w:pPr>
        <w:rPr>
          <w:rFonts w:cs="Arial"/>
        </w:rPr>
      </w:pPr>
      <w:r w:rsidRPr="003B1747">
        <w:rPr>
          <w:rFonts w:cs="Arial"/>
        </w:rPr>
        <w:t>The Service is “available” when the Node4 connection to the internet is available. Network downtime would be in the event of the total failure of all Node4 provided connections to or from the internet. Where a Customer has not opted for HSRP redundant network connections no downtime would be attributable if the downtime is due to a core switch failure.</w:t>
      </w:r>
    </w:p>
    <w:p w14:paraId="48E739A7" w14:textId="77777777" w:rsidR="003B1747" w:rsidRPr="003B1747" w:rsidRDefault="003B1747" w:rsidP="003B1747">
      <w:pPr>
        <w:rPr>
          <w:rFonts w:cs="Arial"/>
        </w:rPr>
      </w:pPr>
      <w:r w:rsidRPr="003B1747">
        <w:rPr>
          <w:rFonts w:cs="Arial"/>
        </w:rPr>
        <w:t xml:space="preserve">The following equation will be used to calculate Service Availability. References to hours are to the number of hours in the applicable Monthly Review Period: </w:t>
      </w:r>
    </w:p>
    <w:p w14:paraId="699B9E59" w14:textId="77777777" w:rsidR="003B1747" w:rsidRPr="003B1747" w:rsidRDefault="003B1747" w:rsidP="003B1747">
      <w:pPr>
        <w:rPr>
          <w:rFonts w:cs="Arial"/>
          <w:b/>
        </w:rPr>
      </w:pPr>
      <w:r w:rsidRPr="003B1747">
        <w:rPr>
          <w:rFonts w:cs="Arial"/>
          <w:b/>
        </w:rPr>
        <w:t>((Total hours - Total hours Unavailable)/Total hours) x 100).</w:t>
      </w:r>
    </w:p>
    <w:p w14:paraId="3B8AC9D5" w14:textId="577EA6C8" w:rsidR="00462B63" w:rsidRDefault="003B1747" w:rsidP="003B1747">
      <w:pPr>
        <w:pStyle w:val="Heading3"/>
      </w:pPr>
      <w:r>
        <w:t xml:space="preserve"> </w:t>
      </w:r>
      <w:r w:rsidR="00394738">
        <w:t>Network service c</w:t>
      </w:r>
      <w:r w:rsidRPr="003B1747">
        <w:t>redits</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31"/>
        <w:gridCol w:w="2268"/>
      </w:tblGrid>
      <w:tr w:rsidR="003B1747" w:rsidRPr="00BC665D" w14:paraId="5B125940" w14:textId="77777777" w:rsidTr="00D758F0">
        <w:trPr>
          <w:trHeight w:val="620"/>
          <w:tblCellSpacing w:w="20" w:type="dxa"/>
        </w:trPr>
        <w:tc>
          <w:tcPr>
            <w:tcW w:w="2471" w:type="dxa"/>
            <w:shd w:val="clear" w:color="auto" w:fill="323232" w:themeFill="text1"/>
            <w:vAlign w:val="bottom"/>
          </w:tcPr>
          <w:p w14:paraId="1B4E6B26" w14:textId="77777777" w:rsidR="003B1747" w:rsidRPr="00713767" w:rsidRDefault="003B1747" w:rsidP="00D758F0">
            <w:pPr>
              <w:jc w:val="center"/>
              <w:rPr>
                <w:rFonts w:cs="Arial"/>
                <w:b/>
                <w:color w:val="FFFFFF"/>
                <w:sz w:val="14"/>
                <w:szCs w:val="16"/>
              </w:rPr>
            </w:pPr>
            <w:r>
              <w:rPr>
                <w:rFonts w:cs="Arial"/>
                <w:b/>
                <w:color w:val="FFFFFF"/>
                <w:sz w:val="14"/>
                <w:szCs w:val="16"/>
              </w:rPr>
              <w:t>Service Availability During Monthly Review Period (Switch Service)</w:t>
            </w:r>
          </w:p>
        </w:tc>
        <w:tc>
          <w:tcPr>
            <w:tcW w:w="2208" w:type="dxa"/>
            <w:shd w:val="clear" w:color="auto" w:fill="323232" w:themeFill="text1"/>
            <w:vAlign w:val="center"/>
          </w:tcPr>
          <w:p w14:paraId="2A7163E7" w14:textId="7FB637FA" w:rsidR="003B1747" w:rsidRPr="00713767" w:rsidRDefault="003B1747" w:rsidP="003B1747">
            <w:pPr>
              <w:jc w:val="center"/>
              <w:rPr>
                <w:rFonts w:cs="Arial"/>
                <w:b/>
                <w:color w:val="FFFFFF"/>
                <w:sz w:val="14"/>
                <w:szCs w:val="16"/>
              </w:rPr>
            </w:pPr>
            <w:r>
              <w:rPr>
                <w:rFonts w:cs="Arial"/>
                <w:b/>
                <w:color w:val="FFFFFF"/>
                <w:sz w:val="14"/>
                <w:szCs w:val="16"/>
              </w:rPr>
              <w:t>Service Credits as % of Monthly Rental Fees</w:t>
            </w:r>
          </w:p>
        </w:tc>
      </w:tr>
      <w:tr w:rsidR="003B1747" w:rsidRPr="00BC665D" w14:paraId="33690B32" w14:textId="77777777" w:rsidTr="00D758F0">
        <w:trPr>
          <w:tblCellSpacing w:w="20" w:type="dxa"/>
        </w:trPr>
        <w:tc>
          <w:tcPr>
            <w:tcW w:w="2471" w:type="dxa"/>
            <w:shd w:val="clear" w:color="auto" w:fill="ADAFAF" w:themeFill="text2"/>
          </w:tcPr>
          <w:p w14:paraId="69F6DF43" w14:textId="77777777" w:rsidR="003B1747" w:rsidRPr="003B1747" w:rsidRDefault="003B1747" w:rsidP="00D758F0">
            <w:pPr>
              <w:jc w:val="center"/>
              <w:rPr>
                <w:rFonts w:cs="Arial"/>
                <w:sz w:val="14"/>
                <w:szCs w:val="16"/>
              </w:rPr>
            </w:pPr>
            <w:r w:rsidRPr="003B1747">
              <w:rPr>
                <w:rFonts w:cs="Arial"/>
                <w:sz w:val="14"/>
                <w:szCs w:val="16"/>
              </w:rPr>
              <w:t>&lt;99.9% - 99.8%</w:t>
            </w:r>
          </w:p>
        </w:tc>
        <w:tc>
          <w:tcPr>
            <w:tcW w:w="2208" w:type="dxa"/>
            <w:shd w:val="clear" w:color="auto" w:fill="ADAFAF" w:themeFill="text2"/>
          </w:tcPr>
          <w:p w14:paraId="3EE00693" w14:textId="30376C9F" w:rsidR="003B1747" w:rsidRPr="00713767" w:rsidRDefault="003B1747" w:rsidP="00D758F0">
            <w:pPr>
              <w:jc w:val="center"/>
              <w:rPr>
                <w:rFonts w:cs="Arial"/>
                <w:sz w:val="14"/>
                <w:szCs w:val="16"/>
              </w:rPr>
            </w:pPr>
            <w:r>
              <w:rPr>
                <w:rFonts w:cs="Arial"/>
                <w:sz w:val="14"/>
                <w:szCs w:val="16"/>
              </w:rPr>
              <w:t>0%</w:t>
            </w:r>
          </w:p>
        </w:tc>
      </w:tr>
      <w:tr w:rsidR="003B1747" w:rsidRPr="00BC665D" w14:paraId="31240CDD" w14:textId="77777777" w:rsidTr="00D758F0">
        <w:trPr>
          <w:tblCellSpacing w:w="20" w:type="dxa"/>
        </w:trPr>
        <w:tc>
          <w:tcPr>
            <w:tcW w:w="2471" w:type="dxa"/>
          </w:tcPr>
          <w:p w14:paraId="5FDF562D" w14:textId="77777777" w:rsidR="003B1747" w:rsidRPr="003B1747" w:rsidRDefault="003B1747" w:rsidP="00D758F0">
            <w:pPr>
              <w:jc w:val="center"/>
              <w:rPr>
                <w:rFonts w:cs="Arial"/>
                <w:sz w:val="14"/>
                <w:szCs w:val="16"/>
              </w:rPr>
            </w:pPr>
            <w:r w:rsidRPr="003B1747">
              <w:rPr>
                <w:rFonts w:cs="Arial"/>
                <w:sz w:val="14"/>
                <w:szCs w:val="16"/>
              </w:rPr>
              <w:t>&lt;99.8% - 99.5%</w:t>
            </w:r>
          </w:p>
        </w:tc>
        <w:tc>
          <w:tcPr>
            <w:tcW w:w="2208" w:type="dxa"/>
          </w:tcPr>
          <w:p w14:paraId="15F9F476" w14:textId="26F8F8F0" w:rsidR="003B1747" w:rsidRPr="00713767" w:rsidRDefault="003B1747" w:rsidP="00D758F0">
            <w:pPr>
              <w:jc w:val="center"/>
              <w:rPr>
                <w:rFonts w:cs="Arial"/>
                <w:sz w:val="14"/>
                <w:szCs w:val="16"/>
              </w:rPr>
            </w:pPr>
            <w:r>
              <w:rPr>
                <w:rFonts w:cs="Arial"/>
                <w:sz w:val="14"/>
                <w:szCs w:val="16"/>
              </w:rPr>
              <w:t>5%</w:t>
            </w:r>
          </w:p>
        </w:tc>
      </w:tr>
      <w:tr w:rsidR="003B1747" w:rsidRPr="00BC665D" w14:paraId="6A4D5CF5" w14:textId="77777777" w:rsidTr="00D758F0">
        <w:trPr>
          <w:tblCellSpacing w:w="20" w:type="dxa"/>
        </w:trPr>
        <w:tc>
          <w:tcPr>
            <w:tcW w:w="2471" w:type="dxa"/>
            <w:shd w:val="clear" w:color="auto" w:fill="ADAFAF" w:themeFill="text2"/>
          </w:tcPr>
          <w:p w14:paraId="4F0E4463" w14:textId="77777777" w:rsidR="003B1747" w:rsidRPr="003B1747" w:rsidRDefault="003B1747" w:rsidP="00D758F0">
            <w:pPr>
              <w:jc w:val="center"/>
              <w:rPr>
                <w:rFonts w:cs="Arial"/>
                <w:sz w:val="14"/>
                <w:szCs w:val="16"/>
              </w:rPr>
            </w:pPr>
            <w:r w:rsidRPr="003B1747">
              <w:rPr>
                <w:rFonts w:cs="Arial"/>
                <w:sz w:val="14"/>
                <w:szCs w:val="16"/>
              </w:rPr>
              <w:t>&lt;99.5% - 99.0%</w:t>
            </w:r>
          </w:p>
        </w:tc>
        <w:tc>
          <w:tcPr>
            <w:tcW w:w="2208" w:type="dxa"/>
            <w:shd w:val="clear" w:color="auto" w:fill="ADAFAF" w:themeFill="text2"/>
          </w:tcPr>
          <w:p w14:paraId="71627C74" w14:textId="280CC9A0" w:rsidR="003B1747" w:rsidRPr="00713767" w:rsidRDefault="003B1747" w:rsidP="00D758F0">
            <w:pPr>
              <w:jc w:val="center"/>
              <w:rPr>
                <w:rFonts w:cs="Arial"/>
                <w:sz w:val="14"/>
                <w:szCs w:val="16"/>
              </w:rPr>
            </w:pPr>
            <w:r>
              <w:rPr>
                <w:rFonts w:cs="Arial"/>
                <w:sz w:val="14"/>
                <w:szCs w:val="16"/>
              </w:rPr>
              <w:t>10%</w:t>
            </w:r>
          </w:p>
        </w:tc>
      </w:tr>
      <w:tr w:rsidR="003B1747" w:rsidRPr="00BC665D" w14:paraId="6B8ADE2A" w14:textId="77777777" w:rsidTr="00D758F0">
        <w:trPr>
          <w:tblCellSpacing w:w="20" w:type="dxa"/>
        </w:trPr>
        <w:tc>
          <w:tcPr>
            <w:tcW w:w="2471" w:type="dxa"/>
          </w:tcPr>
          <w:p w14:paraId="34F415B8" w14:textId="77777777" w:rsidR="003B1747" w:rsidRPr="003B1747" w:rsidRDefault="003B1747" w:rsidP="00D758F0">
            <w:pPr>
              <w:jc w:val="center"/>
              <w:rPr>
                <w:rFonts w:cs="Arial"/>
                <w:sz w:val="14"/>
                <w:szCs w:val="16"/>
              </w:rPr>
            </w:pPr>
            <w:r w:rsidRPr="003B1747">
              <w:rPr>
                <w:rFonts w:cs="Arial"/>
                <w:sz w:val="14"/>
                <w:szCs w:val="16"/>
              </w:rPr>
              <w:t>&lt;99.0% - 98.0%</w:t>
            </w:r>
          </w:p>
        </w:tc>
        <w:tc>
          <w:tcPr>
            <w:tcW w:w="2208" w:type="dxa"/>
          </w:tcPr>
          <w:p w14:paraId="12F21135" w14:textId="47B53484" w:rsidR="003B1747" w:rsidRPr="00713767" w:rsidRDefault="003B1747" w:rsidP="00D758F0">
            <w:pPr>
              <w:jc w:val="center"/>
              <w:rPr>
                <w:rFonts w:cs="Arial"/>
                <w:sz w:val="14"/>
                <w:szCs w:val="16"/>
              </w:rPr>
            </w:pPr>
            <w:r>
              <w:rPr>
                <w:rFonts w:cs="Arial"/>
                <w:sz w:val="14"/>
                <w:szCs w:val="16"/>
              </w:rPr>
              <w:t>15%</w:t>
            </w:r>
          </w:p>
        </w:tc>
      </w:tr>
      <w:tr w:rsidR="003B1747" w:rsidRPr="00BC665D" w14:paraId="285A6DEA" w14:textId="77777777" w:rsidTr="00D758F0">
        <w:trPr>
          <w:tblCellSpacing w:w="20" w:type="dxa"/>
        </w:trPr>
        <w:tc>
          <w:tcPr>
            <w:tcW w:w="2471" w:type="dxa"/>
            <w:shd w:val="clear" w:color="auto" w:fill="A6A6A6" w:themeFill="background1" w:themeFillShade="A6"/>
          </w:tcPr>
          <w:p w14:paraId="4979EF23" w14:textId="0C8E7579" w:rsidR="003B1747" w:rsidRPr="003B1747" w:rsidRDefault="003B1747" w:rsidP="00D758F0">
            <w:pPr>
              <w:jc w:val="center"/>
              <w:rPr>
                <w:rFonts w:cs="Arial"/>
                <w:sz w:val="14"/>
                <w:szCs w:val="16"/>
              </w:rPr>
            </w:pPr>
            <w:r w:rsidRPr="003B1747">
              <w:rPr>
                <w:rFonts w:cs="Arial"/>
                <w:sz w:val="14"/>
                <w:szCs w:val="16"/>
              </w:rPr>
              <w:t>&lt;98</w:t>
            </w:r>
            <w:r>
              <w:rPr>
                <w:rFonts w:cs="Arial"/>
                <w:sz w:val="14"/>
                <w:szCs w:val="16"/>
              </w:rPr>
              <w:t>.0</w:t>
            </w:r>
            <w:r w:rsidRPr="003B1747">
              <w:rPr>
                <w:rFonts w:cs="Arial"/>
                <w:sz w:val="14"/>
                <w:szCs w:val="16"/>
              </w:rPr>
              <w:t>%</w:t>
            </w:r>
          </w:p>
        </w:tc>
        <w:tc>
          <w:tcPr>
            <w:tcW w:w="2208" w:type="dxa"/>
            <w:shd w:val="clear" w:color="auto" w:fill="A6A6A6" w:themeFill="background1" w:themeFillShade="A6"/>
          </w:tcPr>
          <w:p w14:paraId="65D7F18C" w14:textId="2DFD3546" w:rsidR="003B1747" w:rsidRPr="00713767" w:rsidRDefault="003B1747" w:rsidP="00D758F0">
            <w:pPr>
              <w:jc w:val="center"/>
              <w:rPr>
                <w:rFonts w:cs="Arial"/>
                <w:sz w:val="14"/>
                <w:szCs w:val="16"/>
              </w:rPr>
            </w:pPr>
            <w:r>
              <w:rPr>
                <w:rFonts w:cs="Arial"/>
                <w:sz w:val="14"/>
                <w:szCs w:val="16"/>
              </w:rPr>
              <w:t>20%</w:t>
            </w:r>
          </w:p>
        </w:tc>
      </w:tr>
    </w:tbl>
    <w:p w14:paraId="34C1907A" w14:textId="0E20762D" w:rsidR="003B1747" w:rsidRDefault="00394738" w:rsidP="003B1747">
      <w:pPr>
        <w:pStyle w:val="Heading3"/>
      </w:pPr>
      <w:r>
        <w:t xml:space="preserve"> Calculations of service c</w:t>
      </w:r>
      <w:r w:rsidR="003B1747">
        <w:t>redits</w:t>
      </w:r>
    </w:p>
    <w:p w14:paraId="00D07802" w14:textId="77777777" w:rsidR="003B1747" w:rsidRDefault="003B1747" w:rsidP="003B1747">
      <w:r>
        <w:t xml:space="preserve">Where a Monthly Review Period incorporates part of a month, any service credit will apply to a pro-rated monthly Rental Fee. </w:t>
      </w:r>
    </w:p>
    <w:p w14:paraId="5898967A" w14:textId="77777777" w:rsidR="003B1747" w:rsidRDefault="003B1747" w:rsidP="003B1747">
      <w:r>
        <w:t xml:space="preserve">Service credits will be calculated monthly, aggregated and credited to the Customer on a quarterly basis. </w:t>
      </w:r>
    </w:p>
    <w:p w14:paraId="70D1B789" w14:textId="77777777" w:rsidR="003B1747" w:rsidRDefault="003B1747" w:rsidP="003B1747">
      <w:r>
        <w:t xml:space="preserve">If a Service is cancelled during a Monthly Review Period, no service credit will be payable in respect of that circuit for that Monthly Review Period. </w:t>
      </w:r>
    </w:p>
    <w:p w14:paraId="387AF9AE" w14:textId="77777777" w:rsidR="003B1747" w:rsidRDefault="003B1747" w:rsidP="003B1747">
      <w:r>
        <w:t>The Customer must claim any service credit due to a failure to meet the Service Levels, in writing, within twenty one (21) Business Days of the date at which the Customer could reasonably be expected to become aware of such failure, otherwise no service credits shall be payable. The Customer shall not be entitled to any service credits in respect of a claim unless and until Node4 has received notice of the claim in writing in accordance with the above. Should Node4 require additional information from the Customer, the Customer shall assist, and shall not be entitled to any service credits until Node4 has received all the information it has reasonably requested.</w:t>
      </w:r>
    </w:p>
    <w:p w14:paraId="60C96C3D" w14:textId="7EAB3E59" w:rsidR="003B1747" w:rsidRDefault="00394738" w:rsidP="003B1747">
      <w:pPr>
        <w:pStyle w:val="Heading3"/>
      </w:pPr>
      <w:r>
        <w:t xml:space="preserve"> Exclusions to payment of service c</w:t>
      </w:r>
      <w:r w:rsidR="003B1747">
        <w:t>redits</w:t>
      </w:r>
    </w:p>
    <w:p w14:paraId="2A4A4CCF" w14:textId="77777777" w:rsidR="003B1747" w:rsidRDefault="003B1747" w:rsidP="003B1747">
      <w:r>
        <w:t xml:space="preserve">Without prejudice to or limitation of the definition of Service Availability, service credits will not be payable by Node4 to the Customer in relation to the Service Availability for faults or disruptions to the Services caused by any of the following: </w:t>
      </w:r>
    </w:p>
    <w:p w14:paraId="12F1AFA0" w14:textId="77777777" w:rsidR="003B1747" w:rsidRDefault="003B1747" w:rsidP="003B1747">
      <w:pPr>
        <w:pStyle w:val="ListParagraph"/>
      </w:pPr>
      <w:r>
        <w:t>The fault, action or negligence of the Customer, its employees, agents or contractors;</w:t>
      </w:r>
    </w:p>
    <w:p w14:paraId="3D386948" w14:textId="03C7A4EF" w:rsidR="003B1747" w:rsidRDefault="003B1747" w:rsidP="003B1747">
      <w:pPr>
        <w:pStyle w:val="ListParagraph"/>
      </w:pPr>
      <w:r>
        <w:t>In a shared rack environment the fault, action or negligence of any customer within the shared rack;</w:t>
      </w:r>
    </w:p>
    <w:p w14:paraId="179A2B07" w14:textId="22E099F5" w:rsidR="003B1747" w:rsidRDefault="003B1747" w:rsidP="003B1747">
      <w:pPr>
        <w:pStyle w:val="ListParagraph"/>
      </w:pPr>
      <w:r>
        <w:t>The Customer failing to comply with the provisions of the Agreement;</w:t>
      </w:r>
    </w:p>
    <w:p w14:paraId="2D7D1743" w14:textId="77777777" w:rsidR="003B1747" w:rsidRDefault="003B1747" w:rsidP="003B1747">
      <w:pPr>
        <w:pStyle w:val="ListParagraph"/>
      </w:pPr>
      <w:r>
        <w:lastRenderedPageBreak/>
        <w:t>A fault in, or any other problem associated with, equipment connected on the Customer’s side of the Node4 Network termination point, except where such fault or problem is directly caused by the fault action or negligence of Node4, its employees, agents or contractors;</w:t>
      </w:r>
    </w:p>
    <w:p w14:paraId="0AEEF6DA" w14:textId="77777777" w:rsidR="003B1747" w:rsidRDefault="003B1747" w:rsidP="003B1747">
      <w:pPr>
        <w:pStyle w:val="ListParagraph"/>
      </w:pPr>
      <w:r>
        <w:t xml:space="preserve">Any event described in Clause 10 (Force Majeure) of Node4’s Terms and Conditions; </w:t>
      </w:r>
    </w:p>
    <w:p w14:paraId="67F68809" w14:textId="3A8557F4" w:rsidR="003B1747" w:rsidRDefault="003B1747" w:rsidP="003B1747">
      <w:pPr>
        <w:pStyle w:val="ListParagraph"/>
      </w:pPr>
      <w:r>
        <w:t>A failure by the Customer to give Node4 access to any equipment after being requested to do so by Node4; or</w:t>
      </w:r>
    </w:p>
    <w:p w14:paraId="524B7B1B" w14:textId="2005A27C" w:rsidR="003B1747" w:rsidRDefault="003B1747" w:rsidP="003B1747">
      <w:pPr>
        <w:pStyle w:val="ListParagraph"/>
      </w:pPr>
      <w:r>
        <w:t>Any Planned Outage.</w:t>
      </w:r>
    </w:p>
    <w:p w14:paraId="34BE8DC1" w14:textId="77777777" w:rsidR="003B1747" w:rsidRDefault="003B1747" w:rsidP="003B1747">
      <w:r>
        <w:t>Service credits are not applicable for more than one breach of any targets outlined in this document arising from the same occurrence.</w:t>
      </w:r>
    </w:p>
    <w:p w14:paraId="0D5101E1" w14:textId="77777777" w:rsidR="003B1747" w:rsidRDefault="003B1747" w:rsidP="003B1747">
      <w:r>
        <w:t xml:space="preserve">In respect of any Monthly Review Period, the total amount of any service credits payable in relation to all Service Level breaches shall not exceed 50% of the monthly Rental Fee for the affected Services. </w:t>
      </w:r>
    </w:p>
    <w:p w14:paraId="052A7FAC" w14:textId="358D6A1E" w:rsidR="00F4051C" w:rsidRPr="003B1747" w:rsidRDefault="003B1747" w:rsidP="00E26340">
      <w:r>
        <w:t>The provision of service credits shall be the sole and exclusive remedy for the failure to meet the service levels for the data centre hosting services. Node4 shall have no additional liability to the Customer in respect thereof.</w:t>
      </w:r>
    </w:p>
    <w:sectPr w:rsidR="00F4051C" w:rsidRPr="003B1747" w:rsidSect="00CD0668">
      <w:headerReference w:type="default" r:id="rId16"/>
      <w:footerReference w:type="even" r:id="rId17"/>
      <w:footerReference w:type="default" r:id="rId18"/>
      <w:headerReference w:type="first" r:id="rId19"/>
      <w:footerReference w:type="first" r:id="rId20"/>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3E696" w14:textId="77777777" w:rsidR="00A743E3" w:rsidRDefault="00A743E3" w:rsidP="00763FA4">
      <w:pPr>
        <w:spacing w:after="0" w:line="240" w:lineRule="auto"/>
      </w:pPr>
      <w:r>
        <w:separator/>
      </w:r>
    </w:p>
  </w:endnote>
  <w:endnote w:type="continuationSeparator" w:id="0">
    <w:p w14:paraId="3646CFFB" w14:textId="77777777" w:rsidR="00A743E3" w:rsidRDefault="00A743E3"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line id="Straight Connector 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79220 [3204]" strokeweight="2pt" from="-80.6pt,4.8pt" to="580.4pt,4.8pt" w14:anchorId="00C9F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">
              <o:lock v:ext="edit" shapetype="f"/>
            </v:line>
          </w:pict>
        </mc:Fallback>
      </mc:AlternateContent>
    </w:r>
  </w:p>
  <w:p w14:paraId="7F4F41DB" w14:textId="48179753"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794F79">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794F79">
          <w:rPr>
            <w:color w:val="8E908F"/>
            <w:sz w:val="18"/>
            <w:szCs w:val="18"/>
          </w:rPr>
          <w:t>Data centre hosting - Colocation</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aps w:val="0"/>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7-07-28T00:00:00Z">
          <w:dateFormat w:val="dd/MM/yyyy"/>
          <w:lid w:val="en-GB"/>
          <w:storeMappedDataAs w:val="dateTime"/>
          <w:calendar w:val="gregorian"/>
        </w:date>
      </w:sdtPr>
      <w:sdtEndPr/>
      <w:sdtContent>
        <w:r w:rsidR="00A834BD">
          <w:rPr>
            <w:color w:val="8E908F"/>
            <w:sz w:val="18"/>
            <w:szCs w:val="18"/>
          </w:rPr>
          <w:t>28/07/2017</w:t>
        </w:r>
      </w:sdtContent>
    </w:sdt>
    <w:r>
      <w:tab/>
    </w:r>
    <w:r>
      <w:fldChar w:fldCharType="begin"/>
    </w:r>
    <w:r>
      <w:instrText xml:space="preserve"> PAGE  \* Arabic  \* MERGEFORMAT </w:instrText>
    </w:r>
    <w:r>
      <w:fldChar w:fldCharType="separate"/>
    </w:r>
    <w:r w:rsidR="00440B0C">
      <w:rPr>
        <w:noProof/>
      </w:rPr>
      <w:t>8</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line id="Straight Connector 14"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margin" o:spid="_x0000_s1026" strokecolor="#f45206" strokeweight="2pt" from="-80.6pt,-12.2pt" to="580.4pt,-12.2pt" w14:anchorId="7A64CC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">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1D36B" w14:textId="77777777" w:rsidR="00A743E3" w:rsidRDefault="00A743E3" w:rsidP="00763FA4">
      <w:pPr>
        <w:spacing w:after="0" w:line="240" w:lineRule="auto"/>
      </w:pPr>
      <w:r>
        <w:separator/>
      </w:r>
    </w:p>
  </w:footnote>
  <w:footnote w:type="continuationSeparator" w:id="0">
    <w:p w14:paraId="169AD35E" w14:textId="77777777" w:rsidR="00A743E3" w:rsidRDefault="00A743E3"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A322CC0E"/>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10EE3"/>
    <w:multiLevelType w:val="hybridMultilevel"/>
    <w:tmpl w:val="0D664808"/>
    <w:lvl w:ilvl="0" w:tplc="AF32B75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5"/>
  </w:num>
  <w:num w:numId="4">
    <w:abstractNumId w:val="18"/>
  </w:num>
  <w:num w:numId="5">
    <w:abstractNumId w:val="27"/>
  </w:num>
  <w:num w:numId="6">
    <w:abstractNumId w:val="13"/>
  </w:num>
  <w:num w:numId="7">
    <w:abstractNumId w:val="22"/>
  </w:num>
  <w:num w:numId="8">
    <w:abstractNumId w:val="2"/>
  </w:num>
  <w:num w:numId="9">
    <w:abstractNumId w:val="30"/>
  </w:num>
  <w:num w:numId="10">
    <w:abstractNumId w:val="20"/>
  </w:num>
  <w:num w:numId="11">
    <w:abstractNumId w:val="9"/>
  </w:num>
  <w:num w:numId="12">
    <w:abstractNumId w:val="16"/>
  </w:num>
  <w:num w:numId="13">
    <w:abstractNumId w:val="23"/>
  </w:num>
  <w:num w:numId="14">
    <w:abstractNumId w:val="8"/>
  </w:num>
  <w:num w:numId="15">
    <w:abstractNumId w:val="10"/>
  </w:num>
  <w:num w:numId="16">
    <w:abstractNumId w:val="3"/>
  </w:num>
  <w:num w:numId="17">
    <w:abstractNumId w:val="5"/>
  </w:num>
  <w:num w:numId="18">
    <w:abstractNumId w:val="29"/>
  </w:num>
  <w:num w:numId="19">
    <w:abstractNumId w:val="4"/>
  </w:num>
  <w:num w:numId="20">
    <w:abstractNumId w:val="12"/>
  </w:num>
  <w:num w:numId="21">
    <w:abstractNumId w:val="6"/>
  </w:num>
  <w:num w:numId="22">
    <w:abstractNumId w:val="17"/>
  </w:num>
  <w:num w:numId="23">
    <w:abstractNumId w:val="15"/>
  </w:num>
  <w:num w:numId="24">
    <w:abstractNumId w:val="28"/>
  </w:num>
  <w:num w:numId="25">
    <w:abstractNumId w:val="26"/>
  </w:num>
  <w:num w:numId="26">
    <w:abstractNumId w:val="7"/>
  </w:num>
  <w:num w:numId="27">
    <w:abstractNumId w:val="0"/>
  </w:num>
  <w:num w:numId="28">
    <w:abstractNumId w:val="21"/>
  </w:num>
  <w:num w:numId="29">
    <w:abstractNumId w:val="1"/>
  </w:num>
  <w:num w:numId="30">
    <w:abstractNumId w:val="19"/>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94738"/>
    <w:rsid w:val="003976A9"/>
    <w:rsid w:val="003B1747"/>
    <w:rsid w:val="003B21D5"/>
    <w:rsid w:val="003B3E43"/>
    <w:rsid w:val="003B77B0"/>
    <w:rsid w:val="003C6392"/>
    <w:rsid w:val="003D0307"/>
    <w:rsid w:val="003D47D2"/>
    <w:rsid w:val="003E5E71"/>
    <w:rsid w:val="00403516"/>
    <w:rsid w:val="00422732"/>
    <w:rsid w:val="00425C9B"/>
    <w:rsid w:val="00440B0C"/>
    <w:rsid w:val="0045292A"/>
    <w:rsid w:val="0046043E"/>
    <w:rsid w:val="00462B63"/>
    <w:rsid w:val="004705EF"/>
    <w:rsid w:val="00480B5B"/>
    <w:rsid w:val="0048299E"/>
    <w:rsid w:val="004839D0"/>
    <w:rsid w:val="00485800"/>
    <w:rsid w:val="004918E2"/>
    <w:rsid w:val="0049469E"/>
    <w:rsid w:val="004A44E9"/>
    <w:rsid w:val="004A70DC"/>
    <w:rsid w:val="004B0358"/>
    <w:rsid w:val="004B17DE"/>
    <w:rsid w:val="004E06FA"/>
    <w:rsid w:val="004F0CB2"/>
    <w:rsid w:val="004F5462"/>
    <w:rsid w:val="004F6F21"/>
    <w:rsid w:val="0050180A"/>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43F14"/>
    <w:rsid w:val="00644C4C"/>
    <w:rsid w:val="00652EE3"/>
    <w:rsid w:val="00660D7D"/>
    <w:rsid w:val="00662A4E"/>
    <w:rsid w:val="00676B31"/>
    <w:rsid w:val="00687C8B"/>
    <w:rsid w:val="00697287"/>
    <w:rsid w:val="006A1750"/>
    <w:rsid w:val="006A18F8"/>
    <w:rsid w:val="006A4655"/>
    <w:rsid w:val="006B0EEC"/>
    <w:rsid w:val="006C2FB9"/>
    <w:rsid w:val="006D088E"/>
    <w:rsid w:val="006D601C"/>
    <w:rsid w:val="006F63EE"/>
    <w:rsid w:val="006F66BB"/>
    <w:rsid w:val="007106CD"/>
    <w:rsid w:val="00742A78"/>
    <w:rsid w:val="007475F9"/>
    <w:rsid w:val="00747761"/>
    <w:rsid w:val="00747BE2"/>
    <w:rsid w:val="00756285"/>
    <w:rsid w:val="00756A2E"/>
    <w:rsid w:val="00763FA4"/>
    <w:rsid w:val="007672D0"/>
    <w:rsid w:val="00773A92"/>
    <w:rsid w:val="00775F65"/>
    <w:rsid w:val="00793E95"/>
    <w:rsid w:val="00794A9C"/>
    <w:rsid w:val="00794F79"/>
    <w:rsid w:val="007A5901"/>
    <w:rsid w:val="007A6293"/>
    <w:rsid w:val="007B7467"/>
    <w:rsid w:val="007C7A85"/>
    <w:rsid w:val="007D5A22"/>
    <w:rsid w:val="007D7C28"/>
    <w:rsid w:val="007E4014"/>
    <w:rsid w:val="007F4166"/>
    <w:rsid w:val="007F494D"/>
    <w:rsid w:val="008119B0"/>
    <w:rsid w:val="008363C3"/>
    <w:rsid w:val="008364C6"/>
    <w:rsid w:val="00836FAB"/>
    <w:rsid w:val="00840537"/>
    <w:rsid w:val="00845F55"/>
    <w:rsid w:val="0085185B"/>
    <w:rsid w:val="0085701A"/>
    <w:rsid w:val="00865A6D"/>
    <w:rsid w:val="00896AEC"/>
    <w:rsid w:val="008A359A"/>
    <w:rsid w:val="008B1FDF"/>
    <w:rsid w:val="008C162F"/>
    <w:rsid w:val="008D0D48"/>
    <w:rsid w:val="008D4DDA"/>
    <w:rsid w:val="008E3675"/>
    <w:rsid w:val="008F080E"/>
    <w:rsid w:val="008F2C66"/>
    <w:rsid w:val="009034D6"/>
    <w:rsid w:val="00903C3A"/>
    <w:rsid w:val="00912B39"/>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E0518"/>
    <w:rsid w:val="009F1480"/>
    <w:rsid w:val="009F38D2"/>
    <w:rsid w:val="009F424A"/>
    <w:rsid w:val="009F6B0B"/>
    <w:rsid w:val="00A01207"/>
    <w:rsid w:val="00A04071"/>
    <w:rsid w:val="00A04492"/>
    <w:rsid w:val="00A063C6"/>
    <w:rsid w:val="00A3376E"/>
    <w:rsid w:val="00A63240"/>
    <w:rsid w:val="00A7112C"/>
    <w:rsid w:val="00A74166"/>
    <w:rsid w:val="00A743E3"/>
    <w:rsid w:val="00A834BD"/>
    <w:rsid w:val="00A92937"/>
    <w:rsid w:val="00A97CDC"/>
    <w:rsid w:val="00AB49E0"/>
    <w:rsid w:val="00AC1C7B"/>
    <w:rsid w:val="00AD3EAD"/>
    <w:rsid w:val="00AF7FCB"/>
    <w:rsid w:val="00B0371D"/>
    <w:rsid w:val="00B314EF"/>
    <w:rsid w:val="00B36391"/>
    <w:rsid w:val="00B42790"/>
    <w:rsid w:val="00B71EBF"/>
    <w:rsid w:val="00B740D1"/>
    <w:rsid w:val="00B7653F"/>
    <w:rsid w:val="00B81D63"/>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514BD"/>
    <w:rsid w:val="00C57B83"/>
    <w:rsid w:val="00C97C97"/>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86274"/>
    <w:rsid w:val="00D9612B"/>
    <w:rsid w:val="00DA7011"/>
    <w:rsid w:val="00DA7250"/>
    <w:rsid w:val="00DA76FC"/>
    <w:rsid w:val="00DB253A"/>
    <w:rsid w:val="00DB2C59"/>
    <w:rsid w:val="00DD320F"/>
    <w:rsid w:val="00DD4B53"/>
    <w:rsid w:val="00DD4DB7"/>
    <w:rsid w:val="00E26340"/>
    <w:rsid w:val="00E62938"/>
    <w:rsid w:val="00E62BEA"/>
    <w:rsid w:val="00E7069F"/>
    <w:rsid w:val="00EA194C"/>
    <w:rsid w:val="00EA2115"/>
    <w:rsid w:val="00EC6445"/>
    <w:rsid w:val="00EC7CD6"/>
    <w:rsid w:val="00ED59A4"/>
    <w:rsid w:val="00EE769D"/>
    <w:rsid w:val="00F00C3F"/>
    <w:rsid w:val="00F10EC0"/>
    <w:rsid w:val="00F11A6A"/>
    <w:rsid w:val="00F25CF7"/>
    <w:rsid w:val="00F357C5"/>
    <w:rsid w:val="00F4051C"/>
    <w:rsid w:val="00F42B38"/>
    <w:rsid w:val="00F506EC"/>
    <w:rsid w:val="00F55939"/>
    <w:rsid w:val="00F74E79"/>
    <w:rsid w:val="00F8436C"/>
    <w:rsid w:val="00F847D4"/>
    <w:rsid w:val="00F9302D"/>
    <w:rsid w:val="00FB7D59"/>
    <w:rsid w:val="00FC3491"/>
    <w:rsid w:val="00FC495A"/>
    <w:rsid w:val="00FD01F1"/>
    <w:rsid w:val="00FD5F6E"/>
    <w:rsid w:val="00FD7E76"/>
    <w:rsid w:val="00FF5E5E"/>
    <w:rsid w:val="70CA1B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B174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422732"/>
    <w:pPr>
      <w:keepNext/>
      <w:keepLines/>
      <w:spacing w:after="0"/>
      <w:outlineLvl w:val="0"/>
    </w:pPr>
    <w:rPr>
      <w:rFonts w:eastAsia="MS Mincho"/>
      <w:caps/>
      <w:sz w:val="36"/>
      <w:szCs w:val="36"/>
    </w:rPr>
  </w:style>
  <w:style w:type="paragraph" w:styleId="Heading2">
    <w:name w:val="heading 2"/>
    <w:aliases w:val="Sub Heading"/>
    <w:basedOn w:val="Normal"/>
    <w:next w:val="Normal"/>
    <w:link w:val="Heading2Char"/>
    <w:uiPriority w:val="9"/>
    <w:unhideWhenUsed/>
    <w:qFormat/>
    <w:rsid w:val="00A834BD"/>
    <w:pPr>
      <w:keepNext/>
      <w:keepLines/>
      <w:numPr>
        <w:numId w:val="29"/>
      </w:numPr>
      <w:ind w:left="357" w:hanging="357"/>
      <w:outlineLvl w:val="1"/>
    </w:pPr>
    <w:rPr>
      <w:rFonts w:eastAsia="MS Mincho"/>
      <w:b/>
      <w:color w:val="F79220" w:themeColor="accent6"/>
      <w:sz w:val="28"/>
      <w:szCs w:val="32"/>
    </w:rPr>
  </w:style>
  <w:style w:type="paragraph" w:styleId="Heading3">
    <w:name w:val="heading 3"/>
    <w:basedOn w:val="Normal"/>
    <w:next w:val="Normal"/>
    <w:link w:val="Heading3Char"/>
    <w:autoRedefine/>
    <w:uiPriority w:val="9"/>
    <w:unhideWhenUsed/>
    <w:qFormat/>
    <w:rsid w:val="00794F79"/>
    <w:pPr>
      <w:keepNext/>
      <w:keepLines/>
      <w:numPr>
        <w:ilvl w:val="1"/>
        <w:numId w:val="29"/>
      </w:numPr>
      <w:spacing w:before="200" w:after="0"/>
      <w:ind w:left="357" w:hanging="357"/>
      <w:jc w:val="left"/>
      <w:outlineLvl w:val="2"/>
    </w:pPr>
    <w:rPr>
      <w:rFonts w:eastAsia="MS Mincho" w:cs="Arial"/>
      <w:b/>
      <w:color w:val="F79220"/>
      <w:szCs w:val="24"/>
    </w:rPr>
  </w:style>
  <w:style w:type="paragraph" w:styleId="Heading4">
    <w:name w:val="heading 4"/>
    <w:basedOn w:val="Normal"/>
    <w:next w:val="Normal"/>
    <w:link w:val="Heading4Char"/>
    <w:uiPriority w:val="9"/>
    <w:unhideWhenUsed/>
    <w:qFormat/>
    <w:rsid w:val="00422732"/>
    <w:pPr>
      <w:keepNext/>
      <w:keepLines/>
      <w:spacing w:before="200" w:after="0"/>
      <w:outlineLvl w:val="3"/>
    </w:pPr>
    <w:rPr>
      <w:rFonts w:eastAsia="MS Mincho"/>
      <w:caps/>
      <w:color w:val="565A5C"/>
      <w:sz w:val="22"/>
      <w:szCs w:val="22"/>
    </w:rPr>
  </w:style>
  <w:style w:type="paragraph" w:styleId="Heading5">
    <w:name w:val="heading 5"/>
    <w:aliases w:val="CTA Heading"/>
    <w:basedOn w:val="Normal"/>
    <w:next w:val="Normal"/>
    <w:link w:val="Heading5Char"/>
    <w:uiPriority w:val="9"/>
    <w:unhideWhenUsed/>
    <w:qFormat/>
    <w:rsid w:val="00422732"/>
    <w:pPr>
      <w:keepNext/>
      <w:keepLines/>
      <w:spacing w:before="200" w:after="0"/>
      <w:outlineLvl w:val="4"/>
    </w:pPr>
    <w:rPr>
      <w:rFonts w:eastAsia="MS Mincho"/>
      <w:caps/>
      <w:color w:val="69BE28"/>
      <w:sz w:val="22"/>
      <w:szCs w:val="22"/>
    </w:rPr>
  </w:style>
  <w:style w:type="paragraph" w:styleId="Heading6">
    <w:name w:val="heading 6"/>
    <w:aliases w:val="INFO Heading"/>
    <w:basedOn w:val="Normal"/>
    <w:next w:val="Normal"/>
    <w:link w:val="Heading6Char"/>
    <w:uiPriority w:val="9"/>
    <w:unhideWhenUsed/>
    <w:qFormat/>
    <w:rsid w:val="002D5240"/>
    <w:pPr>
      <w:keepNext/>
      <w:keepLines/>
      <w:spacing w:before="200" w:after="0"/>
      <w:outlineLvl w:val="5"/>
    </w:pPr>
    <w:rPr>
      <w:rFonts w:eastAsia="MS Mincho"/>
      <w:caps/>
      <w:color w:val="00A9E0"/>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422732"/>
    <w:rPr>
      <w:rFonts w:ascii="Arial" w:eastAsia="MS Mincho" w:hAnsi="Arial"/>
      <w:caps/>
      <w:color w:val="1E1E1E"/>
      <w:sz w:val="36"/>
      <w:szCs w:val="36"/>
    </w:rPr>
  </w:style>
  <w:style w:type="character" w:customStyle="1" w:styleId="Heading2Char">
    <w:name w:val="Heading 2 Char"/>
    <w:aliases w:val="Sub Heading Char"/>
    <w:link w:val="Heading2"/>
    <w:uiPriority w:val="9"/>
    <w:rsid w:val="00A834BD"/>
    <w:rPr>
      <w:rFonts w:ascii="Arial" w:eastAsia="MS Mincho" w:hAnsi="Arial"/>
      <w:b/>
      <w:color w:val="F79220" w:themeColor="accent6"/>
      <w:sz w:val="28"/>
      <w:szCs w:val="32"/>
    </w:rPr>
  </w:style>
  <w:style w:type="character" w:customStyle="1" w:styleId="Heading3Char">
    <w:name w:val="Heading 3 Char"/>
    <w:link w:val="Heading3"/>
    <w:uiPriority w:val="9"/>
    <w:rsid w:val="00794F79"/>
    <w:rPr>
      <w:rFonts w:ascii="Arial" w:eastAsia="MS Mincho" w:hAnsi="Arial" w:cs="Arial"/>
      <w:b/>
      <w:color w:val="F79220"/>
      <w:szCs w:val="24"/>
    </w:rPr>
  </w:style>
  <w:style w:type="character" w:customStyle="1" w:styleId="Heading4Char">
    <w:name w:val="Heading 4 Char"/>
    <w:link w:val="Heading4"/>
    <w:uiPriority w:val="9"/>
    <w:rsid w:val="00422732"/>
    <w:rPr>
      <w:rFonts w:ascii="Arial" w:eastAsia="MS Mincho" w:hAnsi="Arial"/>
      <w:caps/>
      <w:color w:val="565A5C"/>
      <w:sz w:val="22"/>
      <w:szCs w:val="22"/>
    </w:rPr>
  </w:style>
  <w:style w:type="character" w:customStyle="1" w:styleId="Heading5Char">
    <w:name w:val="Heading 5 Char"/>
    <w:aliases w:val="CTA Heading Char"/>
    <w:link w:val="Heading5"/>
    <w:uiPriority w:val="9"/>
    <w:rsid w:val="00422732"/>
    <w:rPr>
      <w:rFonts w:ascii="Arial" w:eastAsia="MS Mincho" w:hAnsi="Arial"/>
      <w:caps/>
      <w:color w:val="69BE28"/>
      <w:sz w:val="22"/>
      <w:szCs w:val="22"/>
    </w:rPr>
  </w:style>
  <w:style w:type="character" w:customStyle="1" w:styleId="Heading6Char">
    <w:name w:val="Heading 6 Char"/>
    <w:aliases w:val="INFO Heading Char"/>
    <w:link w:val="Heading6"/>
    <w:uiPriority w:val="9"/>
    <w:rsid w:val="002D5240"/>
    <w:rPr>
      <w:rFonts w:ascii="Arial" w:eastAsia="MS Mincho" w:hAnsi="Arial" w:cs="Times New Roman"/>
      <w:caps/>
      <w:color w:val="00A9E0"/>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422732"/>
    <w:pPr>
      <w:ind w:right="496"/>
      <w:jc w:val="right"/>
    </w:pPr>
    <w:rPr>
      <w:rFonts w:eastAsia="MS Mincho"/>
      <w:caps/>
      <w:color w:val="F45206"/>
      <w:spacing w:val="10"/>
      <w:kern w:val="28"/>
      <w:sz w:val="28"/>
      <w:szCs w:val="28"/>
      <w:lang w:val="en-US" w:bidi="en-US"/>
    </w:rPr>
  </w:style>
  <w:style w:type="character" w:customStyle="1" w:styleId="TitleChar">
    <w:name w:val="Title Char"/>
    <w:aliases w:val="Main Sub Title Char"/>
    <w:link w:val="Title"/>
    <w:uiPriority w:val="10"/>
    <w:rsid w:val="00422732"/>
    <w:rPr>
      <w:rFonts w:ascii="Arial" w:eastAsia="MS Mincho" w:hAnsi="Arial"/>
      <w:caps/>
      <w:color w:val="F45206"/>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422732"/>
    <w:pPr>
      <w:tabs>
        <w:tab w:val="clear" w:pos="4513"/>
        <w:tab w:val="clear" w:pos="6663"/>
        <w:tab w:val="clear" w:pos="9072"/>
      </w:tabs>
      <w:ind w:right="543"/>
      <w:jc w:val="left"/>
    </w:pPr>
    <w:rPr>
      <w:sz w:val="40"/>
      <w:szCs w:val="40"/>
    </w:rPr>
  </w:style>
  <w:style w:type="character" w:styleId="SubtleEmphasis">
    <w:name w:val="Subtle Emphasis"/>
    <w:uiPriority w:val="19"/>
    <w:qFormat/>
    <w:rsid w:val="002D5240"/>
    <w:rPr>
      <w:rFonts w:ascii="Arial" w:hAnsi="Arial"/>
      <w:b w:val="0"/>
      <w:bCs w:val="0"/>
      <w:i w:val="0"/>
      <w:iCs w:val="0"/>
      <w:color w:val="8E908F"/>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FD5F6E"/>
    <w:rPr>
      <w:rFonts w:ascii="Arial" w:hAnsi="Arial"/>
      <w:b/>
      <w:bCs/>
      <w:i/>
      <w:iCs/>
      <w:color w:val="F45206"/>
      <w:sz w:val="20"/>
      <w:szCs w:val="20"/>
    </w:rPr>
  </w:style>
  <w:style w:type="character" w:styleId="Emphasis">
    <w:name w:val="Emphasis"/>
    <w:uiPriority w:val="20"/>
    <w:qFormat/>
    <w:rsid w:val="00FD5F6E"/>
    <w:rPr>
      <w:rFonts w:ascii="Arial" w:hAnsi="Arial"/>
      <w:b/>
      <w:bCs/>
      <w:i/>
      <w:iCs/>
      <w:color w:val="1E1E1E"/>
      <w:sz w:val="20"/>
      <w:szCs w:val="20"/>
    </w:rPr>
  </w:style>
  <w:style w:type="character" w:styleId="Strong">
    <w:name w:val="Strong"/>
    <w:uiPriority w:val="22"/>
    <w:qFormat/>
    <w:rsid w:val="00FD5F6E"/>
    <w:rPr>
      <w:rFonts w:ascii="Arial" w:hAnsi="Arial"/>
      <w:b/>
      <w:bCs/>
      <w:i w:val="0"/>
      <w:iCs w:val="0"/>
      <w:color w:val="1E1E1E"/>
      <w:sz w:val="20"/>
      <w:szCs w:val="20"/>
    </w:rPr>
  </w:style>
  <w:style w:type="paragraph" w:styleId="ListParagraph">
    <w:name w:val="List Paragraph"/>
    <w:basedOn w:val="Normal"/>
    <w:autoRedefine/>
    <w:uiPriority w:val="34"/>
    <w:qFormat/>
    <w:rsid w:val="003B1747"/>
    <w:pPr>
      <w:numPr>
        <w:numId w:val="32"/>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988901098">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A507D"/>
    <w:rsid w:val="000E0A90"/>
    <w:rsid w:val="0010192B"/>
    <w:rsid w:val="00334432"/>
    <w:rsid w:val="003E59FD"/>
    <w:rsid w:val="005452A0"/>
    <w:rsid w:val="005B2B97"/>
    <w:rsid w:val="005F0431"/>
    <w:rsid w:val="00696A96"/>
    <w:rsid w:val="006F10E0"/>
    <w:rsid w:val="00722F26"/>
    <w:rsid w:val="0078585B"/>
    <w:rsid w:val="007979A3"/>
    <w:rsid w:val="007B54ED"/>
    <w:rsid w:val="00806338"/>
    <w:rsid w:val="00813036"/>
    <w:rsid w:val="00841D31"/>
    <w:rsid w:val="008E3376"/>
    <w:rsid w:val="009133BD"/>
    <w:rsid w:val="00944D2B"/>
    <w:rsid w:val="009C43D0"/>
    <w:rsid w:val="00A02BF8"/>
    <w:rsid w:val="00A41E6A"/>
    <w:rsid w:val="00BA4D88"/>
    <w:rsid w:val="00BF46B4"/>
    <w:rsid w:val="00C35C4B"/>
    <w:rsid w:val="00C731DC"/>
    <w:rsid w:val="00C81B49"/>
    <w:rsid w:val="00CF172E"/>
    <w:rsid w:val="00DE4A05"/>
    <w:rsid w:val="00EC22CB"/>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2017-07-28T00:00:00</PublishDate>
  <Abstract/>
  <CompanyAddress/>
  <CompanyPhone/>
  <CompanyFax/>
  <CompanyEmail/>
</CoverPageProperties>
</file>

<file path=customXml/item2.xml><?xml version="1.0" encoding="utf-8"?>
<root>
</root>
</file>

<file path=customXml/item3.xml><root xmlns="Document Category">
  <Type name="Technical">Report</Type>
  <Type name="White"/>
  <Type name="Manual"/>
  <Type name="Report"/>
</root>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389E2DED1B38B4BB88FD97126A2B45B" ma:contentTypeVersion="6" ma:contentTypeDescription="Create a new document." ma:contentTypeScope="" ma:versionID="b745304ce58c0136bc4db6620f547312">
  <xsd:schema xmlns:xsd="http://www.w3.org/2001/XMLSchema" xmlns:xs="http://www.w3.org/2001/XMLSchema" xmlns:p="http://schemas.microsoft.com/office/2006/metadata/properties" xmlns:ns2="7fe8fd24-7d93-4bcd-b7ce-a7318fdba429" xmlns:ns3="http://schemas.microsoft.com/sharepoint/v3/fields" targetNamespace="http://schemas.microsoft.com/office/2006/metadata/properties" ma:root="true" ma:fieldsID="dbbae68d26dc80469accde09b3dec3e9" ns2:_="" ns3:_="">
    <xsd:import namespace="7fe8fd24-7d93-4bcd-b7ce-a7318fdba42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8fd24-7d93-4bcd-b7ce-a7318fdba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Status Not Set" ma:format="Dropdown" ma:internalName="_Status">
      <xsd:simpleType>
        <xsd:union memberTypes="dms:Text">
          <xsd:simpleType>
            <xsd:restriction base="dms:Choice">
              <xsd:enumeration value="Status Not Set"/>
              <xsd:enumeration value="Not Started"/>
              <xsd:enumeration value="Draft"/>
              <xsd:enumeration value="Final Draft"/>
              <xsd:enumeration value="Active"/>
              <xsd:enumeration value="Review Required"/>
              <xsd:enumeration value="Review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root xmlns="Security Type">
  <Security name="Highly Confidential">Public</Security>
  <Security name="Confidential"/>
  <Security name="Internal Use only"/>
  <Security name="Confidential"/>
</roo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B576B-DEB9-4B76-979D-257E86ABCAAB}">
  <ds:schemaRefs/>
</ds:datastoreItem>
</file>

<file path=customXml/itemProps3.xml><?xml version="1.0" encoding="utf-8"?>
<ds:datastoreItem xmlns:ds="http://schemas.openxmlformats.org/officeDocument/2006/customXml" ds:itemID="{A87D58F3-D782-4C0F-A953-9EC005021CBF}">
  <ds:schemaRefs>
    <ds:schemaRef ds:uri="Document Category"/>
  </ds:schemaRefs>
</ds:datastoreItem>
</file>

<file path=customXml/itemProps4.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6.xml><?xml version="1.0" encoding="utf-8"?>
<ds:datastoreItem xmlns:ds="http://schemas.openxmlformats.org/officeDocument/2006/customXml" ds:itemID="{2E31E603-7307-49B9-8A74-CB30C9191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8fd24-7d93-4bcd-b7ce-a7318fdba4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B0260BB-1140-42BD-B14A-DF7052E49D72}">
  <ds:schemaRefs>
    <ds:schemaRef ds:uri="Security Type"/>
  </ds:schemaRefs>
</ds:datastoreItem>
</file>

<file path=customXml/itemProps8.xml><?xml version="1.0" encoding="utf-8"?>
<ds:datastoreItem xmlns:ds="http://schemas.openxmlformats.org/officeDocument/2006/customXml" ds:itemID="{ADAF1D99-9D01-4A24-81B8-B7D69052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Schedule document</vt:lpstr>
    </vt:vector>
  </TitlesOfParts>
  <Company>Node4 Limited</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Data centre hosting - Colocation</dc:subject>
  <dc:creator>Dominic Kerr-Delworth</dc:creator>
  <cp:keywords/>
  <dc:description/>
  <cp:lastModifiedBy>Andy Cresswell</cp:lastModifiedBy>
  <cp:revision>5</cp:revision>
  <cp:lastPrinted>2016-04-22T07:49:00Z</cp:lastPrinted>
  <dcterms:created xsi:type="dcterms:W3CDTF">2018-11-02T10:44:00Z</dcterms:created>
  <dcterms:modified xsi:type="dcterms:W3CDTF">2018-11-08T14:26:00Z</dcterms:modified>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0x0101002389E2DED1B38B4BB88FD97126A2B45B</vt:lpwstr>
  </property>
</Properties>
</file>