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C53F" w14:textId="4FFD6A89" w:rsidR="0050180A" w:rsidRDefault="00AF7FCB" w:rsidP="00903C3A">
      <w:pPr>
        <w:ind w:right="543"/>
        <w:jc w:val="right"/>
        <w:rPr>
          <w:rStyle w:val="N4TitleChar"/>
        </w:rPr>
      </w:pPr>
      <w:r>
        <w:rPr>
          <w:rStyle w:val="N4TitleChar"/>
        </w:rPr>
        <w:softHyphen/>
      </w:r>
    </w:p>
    <w:p w14:paraId="2470BA29" w14:textId="77777777" w:rsidR="0050180A" w:rsidRDefault="0050180A" w:rsidP="00903C3A">
      <w:pPr>
        <w:ind w:right="543"/>
        <w:jc w:val="right"/>
        <w:rPr>
          <w:rStyle w:val="N4TitleChar"/>
        </w:rPr>
      </w:pPr>
    </w:p>
    <w:p w14:paraId="13A27A2F" w14:textId="77777777" w:rsidR="00F357C5" w:rsidRDefault="00F357C5" w:rsidP="00903C3A">
      <w:pPr>
        <w:ind w:right="543"/>
        <w:jc w:val="right"/>
        <w:rPr>
          <w:rStyle w:val="N4TitleChar"/>
        </w:rPr>
      </w:pPr>
    </w:p>
    <w:p w14:paraId="5B3614E5" w14:textId="77777777" w:rsidR="00FD01F1" w:rsidRPr="00403516" w:rsidRDefault="00FD01F1" w:rsidP="00747BE2">
      <w:pPr>
        <w:pStyle w:val="MainTitle"/>
        <w:rPr>
          <w:rStyle w:val="N4TitleChar"/>
          <w:rFonts w:cs="Arial"/>
        </w:rPr>
      </w:pPr>
    </w:p>
    <w:p w14:paraId="44CC7B65" w14:textId="77777777" w:rsidR="00A04071" w:rsidRDefault="00A04071" w:rsidP="00FA6AC4">
      <w:pPr>
        <w:pStyle w:val="Heading1"/>
      </w:pPr>
    </w:p>
    <w:p w14:paraId="73A6A23D" w14:textId="58B1D68F" w:rsidR="00A04071" w:rsidRDefault="001E2F28">
      <w:pPr>
        <w:spacing w:after="0" w:line="240" w:lineRule="auto"/>
        <w:rPr>
          <w:rFonts w:eastAsia="MS Mincho"/>
          <w:caps/>
          <w:sz w:val="36"/>
          <w:szCs w:val="36"/>
        </w:rPr>
      </w:pPr>
      <w:r w:rsidRPr="00BC665D">
        <w:rPr>
          <w:noProof/>
          <w:lang w:val="en-US"/>
        </w:rPr>
        <w:drawing>
          <wp:anchor distT="0" distB="0" distL="114300" distR="114300" simplePos="0" relativeHeight="251657727" behindDoc="0" locked="0" layoutInCell="1" allowOverlap="1" wp14:anchorId="010CD128" wp14:editId="5AA238D3">
            <wp:simplePos x="0" y="0"/>
            <wp:positionH relativeFrom="margin">
              <wp:posOffset>2916555</wp:posOffset>
            </wp:positionH>
            <wp:positionV relativeFrom="margin">
              <wp:posOffset>2757601</wp:posOffset>
            </wp:positionV>
            <wp:extent cx="3089910" cy="765175"/>
            <wp:effectExtent l="0" t="0" r="0" b="0"/>
            <wp:wrapSquare wrapText="bothSides"/>
            <wp:docPr id="2" name="Picture 2"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59776" behindDoc="0" locked="0" layoutInCell="1" allowOverlap="1" wp14:anchorId="653DCA2F" wp14:editId="39811333">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E745D4C" w14:textId="249C590C" w:rsidR="001561F9" w:rsidRPr="00FA6AC4" w:rsidRDefault="008A479F" w:rsidP="00A04071">
                            <w:pPr>
                              <w:pStyle w:val="MainTitle"/>
                              <w:tabs>
                                <w:tab w:val="left" w:pos="4111"/>
                              </w:tabs>
                              <w:ind w:right="496"/>
                              <w:jc w:val="right"/>
                              <w:rPr>
                                <w:rStyle w:val="TitleChar"/>
                                <w:caps/>
                              </w:rPr>
                            </w:pPr>
                            <w:sdt>
                              <w:sdtPr>
                                <w:rPr>
                                  <w:rFonts w:eastAsia="MS Mincho"/>
                                  <w:caps w:val="0"/>
                                  <w:color w:val="F45206"/>
                                  <w:spacing w:val="10"/>
                                  <w:kern w:val="28"/>
                                  <w:sz w:val="28"/>
                                  <w:szCs w:val="28"/>
                                  <w:lang w:val="en-US" w:bidi="en-US"/>
                                </w:rPr>
                                <w:alias w:val="Title"/>
                                <w:tag w:val=""/>
                                <w:id w:val="-1458333232"/>
                                <w:placeholder>
                                  <w:docPart w:val="B73404531D604301AD1E4FA0DDAABC7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olor w:val="1E1E1E"/>
                                  <w:spacing w:val="0"/>
                                  <w:kern w:val="0"/>
                                  <w:sz w:val="40"/>
                                  <w:szCs w:val="40"/>
                                  <w:lang w:val="en-GB" w:bidi="ar-SA"/>
                                </w:rPr>
                              </w:sdtEndPr>
                              <w:sdtContent>
                                <w:r w:rsidR="001561F9" w:rsidRPr="00FA6AC4">
                                  <w:rPr>
                                    <w:caps w:val="0"/>
                                  </w:rPr>
                                  <w:t>S</w:t>
                                </w:r>
                                <w:r w:rsidR="00D3043C" w:rsidRPr="00FA6AC4">
                                  <w:rPr>
                                    <w:caps w:val="0"/>
                                  </w:rPr>
                                  <w:t>chedule</w:t>
                                </w:r>
                                <w:r w:rsidR="00FA6AC4" w:rsidRPr="00FA6AC4">
                                  <w:rPr>
                                    <w:caps w:val="0"/>
                                  </w:rPr>
                                  <w:t xml:space="preserve"> d</w:t>
                                </w:r>
                                <w:r w:rsidR="00D3043C" w:rsidRPr="00FA6AC4">
                                  <w:rPr>
                                    <w:caps w:val="0"/>
                                  </w:rPr>
                                  <w:t>ocument</w:t>
                                </w:r>
                              </w:sdtContent>
                            </w:sdt>
                          </w:p>
                          <w:sdt>
                            <w:sdtPr>
                              <w:rPr>
                                <w:color w:val="FF8E00"/>
                              </w:rPr>
                              <w:alias w:val="Subject"/>
                              <w:tag w:val=""/>
                              <w:id w:val="1070621246"/>
                              <w:placeholder>
                                <w:docPart w:val="CBBC1DCE13F54CFEBD546476F307DC58"/>
                              </w:placeholder>
                              <w:dataBinding w:prefixMappings="xmlns:ns0='http://purl.org/dc/elements/1.1/' xmlns:ns1='http://schemas.openxmlformats.org/package/2006/metadata/core-properties' " w:xpath="/ns1:coreProperties[1]/ns0:subject[1]" w:storeItemID="{6C3C8BC8-F283-45AE-878A-BAB7291924A1}"/>
                              <w:text/>
                            </w:sdtPr>
                            <w:sdtEndPr/>
                            <w:sdtContent>
                              <w:p w14:paraId="712BF9B5" w14:textId="0631D5A5" w:rsidR="001561F9" w:rsidRPr="00450C87" w:rsidRDefault="0040276A" w:rsidP="009E55C7">
                                <w:pPr>
                                  <w:pStyle w:val="Heading2"/>
                                  <w:numPr>
                                    <w:ilvl w:val="0"/>
                                    <w:numId w:val="0"/>
                                  </w:numPr>
                                  <w:ind w:left="4677" w:right="496" w:firstLine="363"/>
                                  <w:jc w:val="right"/>
                                  <w:rPr>
                                    <w:rStyle w:val="SubtleEmphasis"/>
                                    <w:rFonts w:eastAsia="Trebuchet MS"/>
                                    <w:color w:val="FF8E00"/>
                                    <w:sz w:val="32"/>
                                    <w:szCs w:val="32"/>
                                  </w:rPr>
                                </w:pPr>
                                <w:r w:rsidRPr="00450C87">
                                  <w:rPr>
                                    <w:color w:val="FF8E00"/>
                                  </w:rPr>
                                  <w:t>D</w:t>
                                </w:r>
                                <w:r w:rsidR="00CE393B" w:rsidRPr="00450C87">
                                  <w:rPr>
                                    <w:color w:val="FF8E00"/>
                                  </w:rPr>
                                  <w:t>ata</w:t>
                                </w:r>
                                <w:r w:rsidR="00FA6AC4">
                                  <w:rPr>
                                    <w:color w:val="FF8E00"/>
                                  </w:rPr>
                                  <w:t xml:space="preserve"> m</w:t>
                                </w:r>
                                <w:r w:rsidR="00CE393B" w:rsidRPr="00450C87">
                                  <w:rPr>
                                    <w:color w:val="FF8E00"/>
                                  </w:rPr>
                                  <w:t>anagement</w:t>
                                </w:r>
                                <w:r w:rsidRPr="00450C87">
                                  <w:rPr>
                                    <w:color w:val="FF8E00"/>
                                  </w:rPr>
                                  <w:t xml:space="preserve"> </w:t>
                                </w:r>
                                <w:r w:rsidR="00CE393B" w:rsidRPr="00450C87">
                                  <w:rPr>
                                    <w:color w:val="FF8E00"/>
                                  </w:rPr>
                                  <w:t>and</w:t>
                                </w:r>
                                <w:r w:rsidR="00FA6AC4">
                                  <w:rPr>
                                    <w:color w:val="FF8E00"/>
                                  </w:rPr>
                                  <w:t xml:space="preserve"> a</w:t>
                                </w:r>
                                <w:r w:rsidR="00CE393B" w:rsidRPr="00450C87">
                                  <w:rPr>
                                    <w:color w:val="FF8E00"/>
                                  </w:rPr>
                                  <w:t>ncillary</w:t>
                                </w:r>
                                <w:r w:rsidR="00CE393B">
                                  <w:rPr>
                                    <w:color w:val="FF8E00"/>
                                  </w:rPr>
                                  <w:t xml:space="preserve"> </w:t>
                                </w:r>
                                <w:r w:rsidR="00FA6AC4">
                                  <w:rPr>
                                    <w:color w:val="FF8E00"/>
                                  </w:rPr>
                                  <w:t>s</w:t>
                                </w:r>
                                <w:r w:rsidR="00CE393B" w:rsidRPr="00450C87">
                                  <w:rPr>
                                    <w:color w:val="FF8E00"/>
                                  </w:rPr>
                                  <w:t>ervices</w:t>
                                </w:r>
                              </w:p>
                            </w:sdtContent>
                          </w:sdt>
                          <w:sdt>
                            <w:sdtPr>
                              <w:alias w:val="Security Level Input"/>
                              <w:tag w:val="Security Level Input"/>
                              <w:id w:val="-1061325534"/>
                              <w:placeholder>
                                <w:docPart w:val="560D3FCD7CC4483C86340F1007ACA699"/>
                              </w:placeholder>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3F17916F" w14:textId="77777777" w:rsidR="001561F9" w:rsidRDefault="001561F9" w:rsidP="006229F8">
                                <w:pPr>
                                  <w:pStyle w:val="Heading4"/>
                                  <w:ind w:left="720" w:right="424"/>
                                  <w:jc w:val="right"/>
                                  <w:rPr>
                                    <w:rFonts w:eastAsia="Trebuchet MS"/>
                                    <w:caps w:val="0"/>
                                    <w:color w:val="1E1E1E"/>
                                    <w:sz w:val="20"/>
                                    <w:szCs w:val="20"/>
                                  </w:rPr>
                                </w:pPr>
                                <w:r>
                                  <w:t>Public</w:t>
                                </w:r>
                              </w:p>
                            </w:sdtContent>
                          </w:sdt>
                          <w:sdt>
                            <w:sdtPr>
                              <w:rPr>
                                <w:rStyle w:val="SubtleEmphasis"/>
                                <w:rFonts w:cs="Arial"/>
                                <w:color w:val="565A5C"/>
                              </w:rPr>
                              <w:alias w:val="Company"/>
                              <w:tag w:val=""/>
                              <w:id w:val="823388284"/>
                              <w:placeholder>
                                <w:docPart w:val="0D1B964DEA264CC2A65701624A4C49BD"/>
                              </w:placeholder>
                              <w:dataBinding w:prefixMappings="xmlns:ns0='http://schemas.openxmlformats.org/officeDocument/2006/extended-properties' " w:xpath="/ns0:Properties[1]/ns0:Company[1]" w:storeItemID="{6668398D-A668-4E3E-A5EB-62B293D839F1}"/>
                              <w:text/>
                            </w:sdtPr>
                            <w:sdtEndPr>
                              <w:rPr>
                                <w:rStyle w:val="SubtleEmphasis"/>
                              </w:rPr>
                            </w:sdtEndPr>
                            <w:sdtContent>
                              <w:p w14:paraId="063332C2" w14:textId="3CBD4F5F" w:rsidR="001561F9" w:rsidRPr="00403516" w:rsidRDefault="001561F9" w:rsidP="00A04071">
                                <w:pPr>
                                  <w:pStyle w:val="MainTitle"/>
                                  <w:ind w:right="496"/>
                                  <w:jc w:val="right"/>
                                  <w:rPr>
                                    <w:rStyle w:val="SubtleEmphasis"/>
                                    <w:rFonts w:cs="Arial"/>
                                    <w:color w:val="565A5C"/>
                                  </w:rPr>
                                </w:pPr>
                                <w:r w:rsidRPr="00403516">
                                  <w:rPr>
                                    <w:rStyle w:val="SubtleEmphasis"/>
                                    <w:rFonts w:cs="Arial"/>
                                    <w:color w:val="565A5C"/>
                                  </w:rPr>
                                  <w:t>N</w:t>
                                </w:r>
                                <w:r w:rsidR="00D3043C" w:rsidRPr="00403516">
                                  <w:rPr>
                                    <w:rStyle w:val="SubtleEmphasis"/>
                                    <w:rFonts w:cs="Arial"/>
                                    <w:caps w:val="0"/>
                                    <w:color w:val="565A5C"/>
                                  </w:rPr>
                                  <w:t>ode4</w:t>
                                </w:r>
                                <w:r w:rsidRPr="00403516">
                                  <w:rPr>
                                    <w:rStyle w:val="SubtleEmphasis"/>
                                    <w:rFonts w:cs="Arial"/>
                                    <w:color w:val="565A5C"/>
                                  </w:rPr>
                                  <w:t xml:space="preserve"> L</w:t>
                                </w:r>
                                <w:r w:rsidR="00D3043C" w:rsidRPr="00403516">
                                  <w:rPr>
                                    <w:rStyle w:val="SubtleEmphasis"/>
                                    <w:rFonts w:cs="Arial"/>
                                    <w:caps w:val="0"/>
                                    <w:color w:val="565A5C"/>
                                  </w:rPr>
                                  <w:t>imited</w:t>
                                </w:r>
                              </w:p>
                            </w:sdtContent>
                          </w:sdt>
                          <w:sdt>
                            <w:sdtPr>
                              <w:rPr>
                                <w:rStyle w:val="Emphasis"/>
                                <w:rFonts w:cs="Arial"/>
                                <w:b w:val="0"/>
                                <w:color w:val="8E908F"/>
                              </w:rPr>
                              <w:alias w:val="Publish Date"/>
                              <w:tag w:val=""/>
                              <w:id w:val="1041089247"/>
                              <w:dataBinding w:prefixMappings="xmlns:ns0='http://schemas.microsoft.com/office/2006/coverPageProps' " w:xpath="/ns0:CoverPageProperties[1]/ns0:PublishDate[1]" w:storeItemID="{55AF091B-3C7A-41E3-B477-F2FDAA23CFDA}"/>
                              <w:date w:fullDate="2017-07-17T00:00:00Z">
                                <w:dateFormat w:val="dd/MM/yyyy"/>
                                <w:lid w:val="en-GB"/>
                                <w:storeMappedDataAs w:val="dateTime"/>
                                <w:calendar w:val="gregorian"/>
                              </w:date>
                            </w:sdtPr>
                            <w:sdtEndPr>
                              <w:rPr>
                                <w:rStyle w:val="Emphasis"/>
                              </w:rPr>
                            </w:sdtEndPr>
                            <w:sdtContent>
                              <w:p w14:paraId="752EF15F" w14:textId="2B56EA5E" w:rsidR="001561F9" w:rsidRPr="00AF7FCB" w:rsidRDefault="001561F9" w:rsidP="00A04071">
                                <w:pPr>
                                  <w:ind w:right="496"/>
                                  <w:jc w:val="right"/>
                                  <w:rPr>
                                    <w:rStyle w:val="Emphasis"/>
                                    <w:rFonts w:cs="Arial"/>
                                    <w:b w:val="0"/>
                                    <w:color w:val="8E908F"/>
                                  </w:rPr>
                                </w:pPr>
                                <w:r>
                                  <w:rPr>
                                    <w:rStyle w:val="Emphasis"/>
                                    <w:rFonts w:cs="Arial"/>
                                    <w:b w:val="0"/>
                                    <w:color w:val="8E908F"/>
                                  </w:rPr>
                                  <w:t>17/07/2017</w:t>
                                </w:r>
                              </w:p>
                            </w:sdtContent>
                          </w:sdt>
                          <w:p w14:paraId="24EED2DB" w14:textId="77777777" w:rsidR="001561F9" w:rsidRDefault="001561F9"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DCA2F"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1E745D4C" w14:textId="249C590C" w:rsidR="001561F9" w:rsidRPr="00FA6AC4" w:rsidRDefault="008A479F" w:rsidP="00A04071">
                      <w:pPr>
                        <w:pStyle w:val="MainTitle"/>
                        <w:tabs>
                          <w:tab w:val="left" w:pos="4111"/>
                        </w:tabs>
                        <w:ind w:right="496"/>
                        <w:jc w:val="right"/>
                        <w:rPr>
                          <w:rStyle w:val="TitleChar"/>
                          <w:caps/>
                        </w:rPr>
                      </w:pPr>
                      <w:sdt>
                        <w:sdtPr>
                          <w:rPr>
                            <w:rFonts w:eastAsia="MS Mincho"/>
                            <w:caps w:val="0"/>
                            <w:color w:val="F45206"/>
                            <w:spacing w:val="10"/>
                            <w:kern w:val="28"/>
                            <w:sz w:val="28"/>
                            <w:szCs w:val="28"/>
                            <w:lang w:val="en-US" w:bidi="en-US"/>
                          </w:rPr>
                          <w:alias w:val="Title"/>
                          <w:tag w:val=""/>
                          <w:id w:val="-1458333232"/>
                          <w:placeholder>
                            <w:docPart w:val="B73404531D604301AD1E4FA0DDAABC7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olor w:val="1E1E1E"/>
                            <w:spacing w:val="0"/>
                            <w:kern w:val="0"/>
                            <w:sz w:val="40"/>
                            <w:szCs w:val="40"/>
                            <w:lang w:val="en-GB" w:bidi="ar-SA"/>
                          </w:rPr>
                        </w:sdtEndPr>
                        <w:sdtContent>
                          <w:r w:rsidR="001561F9" w:rsidRPr="00FA6AC4">
                            <w:rPr>
                              <w:caps w:val="0"/>
                            </w:rPr>
                            <w:t>S</w:t>
                          </w:r>
                          <w:r w:rsidR="00D3043C" w:rsidRPr="00FA6AC4">
                            <w:rPr>
                              <w:caps w:val="0"/>
                            </w:rPr>
                            <w:t>chedule</w:t>
                          </w:r>
                          <w:r w:rsidR="00FA6AC4" w:rsidRPr="00FA6AC4">
                            <w:rPr>
                              <w:caps w:val="0"/>
                            </w:rPr>
                            <w:t xml:space="preserve"> d</w:t>
                          </w:r>
                          <w:r w:rsidR="00D3043C" w:rsidRPr="00FA6AC4">
                            <w:rPr>
                              <w:caps w:val="0"/>
                            </w:rPr>
                            <w:t>ocument</w:t>
                          </w:r>
                        </w:sdtContent>
                      </w:sdt>
                    </w:p>
                    <w:sdt>
                      <w:sdtPr>
                        <w:rPr>
                          <w:color w:val="FF8E00"/>
                        </w:rPr>
                        <w:alias w:val="Subject"/>
                        <w:tag w:val=""/>
                        <w:id w:val="1070621246"/>
                        <w:placeholder>
                          <w:docPart w:val="CBBC1DCE13F54CFEBD546476F307DC58"/>
                        </w:placeholder>
                        <w:dataBinding w:prefixMappings="xmlns:ns0='http://purl.org/dc/elements/1.1/' xmlns:ns1='http://schemas.openxmlformats.org/package/2006/metadata/core-properties' " w:xpath="/ns1:coreProperties[1]/ns0:subject[1]" w:storeItemID="{6C3C8BC8-F283-45AE-878A-BAB7291924A1}"/>
                        <w:text/>
                      </w:sdtPr>
                      <w:sdtEndPr/>
                      <w:sdtContent>
                        <w:p w14:paraId="712BF9B5" w14:textId="0631D5A5" w:rsidR="001561F9" w:rsidRPr="00450C87" w:rsidRDefault="0040276A" w:rsidP="009E55C7">
                          <w:pPr>
                            <w:pStyle w:val="Heading2"/>
                            <w:numPr>
                              <w:ilvl w:val="0"/>
                              <w:numId w:val="0"/>
                            </w:numPr>
                            <w:ind w:left="4677" w:right="496" w:firstLine="363"/>
                            <w:jc w:val="right"/>
                            <w:rPr>
                              <w:rStyle w:val="SubtleEmphasis"/>
                              <w:rFonts w:eastAsia="Trebuchet MS"/>
                              <w:color w:val="FF8E00"/>
                              <w:sz w:val="32"/>
                              <w:szCs w:val="32"/>
                            </w:rPr>
                          </w:pPr>
                          <w:r w:rsidRPr="00450C87">
                            <w:rPr>
                              <w:color w:val="FF8E00"/>
                            </w:rPr>
                            <w:t>D</w:t>
                          </w:r>
                          <w:r w:rsidR="00CE393B" w:rsidRPr="00450C87">
                            <w:rPr>
                              <w:color w:val="FF8E00"/>
                            </w:rPr>
                            <w:t>ata</w:t>
                          </w:r>
                          <w:r w:rsidR="00FA6AC4">
                            <w:rPr>
                              <w:color w:val="FF8E00"/>
                            </w:rPr>
                            <w:t xml:space="preserve"> m</w:t>
                          </w:r>
                          <w:r w:rsidR="00CE393B" w:rsidRPr="00450C87">
                            <w:rPr>
                              <w:color w:val="FF8E00"/>
                            </w:rPr>
                            <w:t>anagement</w:t>
                          </w:r>
                          <w:r w:rsidRPr="00450C87">
                            <w:rPr>
                              <w:color w:val="FF8E00"/>
                            </w:rPr>
                            <w:t xml:space="preserve"> </w:t>
                          </w:r>
                          <w:r w:rsidR="00CE393B" w:rsidRPr="00450C87">
                            <w:rPr>
                              <w:color w:val="FF8E00"/>
                            </w:rPr>
                            <w:t>and</w:t>
                          </w:r>
                          <w:r w:rsidR="00FA6AC4">
                            <w:rPr>
                              <w:color w:val="FF8E00"/>
                            </w:rPr>
                            <w:t xml:space="preserve"> a</w:t>
                          </w:r>
                          <w:r w:rsidR="00CE393B" w:rsidRPr="00450C87">
                            <w:rPr>
                              <w:color w:val="FF8E00"/>
                            </w:rPr>
                            <w:t>ncillary</w:t>
                          </w:r>
                          <w:r w:rsidR="00CE393B">
                            <w:rPr>
                              <w:color w:val="FF8E00"/>
                            </w:rPr>
                            <w:t xml:space="preserve"> </w:t>
                          </w:r>
                          <w:r w:rsidR="00FA6AC4">
                            <w:rPr>
                              <w:color w:val="FF8E00"/>
                            </w:rPr>
                            <w:t>s</w:t>
                          </w:r>
                          <w:r w:rsidR="00CE393B" w:rsidRPr="00450C87">
                            <w:rPr>
                              <w:color w:val="FF8E00"/>
                            </w:rPr>
                            <w:t>ervices</w:t>
                          </w:r>
                        </w:p>
                      </w:sdtContent>
                    </w:sdt>
                    <w:sdt>
                      <w:sdtPr>
                        <w:alias w:val="Security Level Input"/>
                        <w:tag w:val="Security Level Input"/>
                        <w:id w:val="-1061325534"/>
                        <w:placeholder>
                          <w:docPart w:val="560D3FCD7CC4483C86340F1007ACA699"/>
                        </w:placeholder>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3F17916F" w14:textId="77777777" w:rsidR="001561F9" w:rsidRDefault="001561F9" w:rsidP="006229F8">
                          <w:pPr>
                            <w:pStyle w:val="Heading4"/>
                            <w:ind w:left="720" w:right="424"/>
                            <w:jc w:val="right"/>
                            <w:rPr>
                              <w:rFonts w:eastAsia="Trebuchet MS"/>
                              <w:caps w:val="0"/>
                              <w:color w:val="1E1E1E"/>
                              <w:sz w:val="20"/>
                              <w:szCs w:val="20"/>
                            </w:rPr>
                          </w:pPr>
                          <w:r>
                            <w:t>Public</w:t>
                          </w:r>
                        </w:p>
                      </w:sdtContent>
                    </w:sdt>
                    <w:sdt>
                      <w:sdtPr>
                        <w:rPr>
                          <w:rStyle w:val="SubtleEmphasis"/>
                          <w:rFonts w:cs="Arial"/>
                          <w:color w:val="565A5C"/>
                        </w:rPr>
                        <w:alias w:val="Company"/>
                        <w:tag w:val=""/>
                        <w:id w:val="823388284"/>
                        <w:placeholder>
                          <w:docPart w:val="0D1B964DEA264CC2A65701624A4C49BD"/>
                        </w:placeholder>
                        <w:dataBinding w:prefixMappings="xmlns:ns0='http://schemas.openxmlformats.org/officeDocument/2006/extended-properties' " w:xpath="/ns0:Properties[1]/ns0:Company[1]" w:storeItemID="{6668398D-A668-4E3E-A5EB-62B293D839F1}"/>
                        <w:text/>
                      </w:sdtPr>
                      <w:sdtEndPr>
                        <w:rPr>
                          <w:rStyle w:val="SubtleEmphasis"/>
                        </w:rPr>
                      </w:sdtEndPr>
                      <w:sdtContent>
                        <w:p w14:paraId="063332C2" w14:textId="3CBD4F5F" w:rsidR="001561F9" w:rsidRPr="00403516" w:rsidRDefault="001561F9" w:rsidP="00A04071">
                          <w:pPr>
                            <w:pStyle w:val="MainTitle"/>
                            <w:ind w:right="496"/>
                            <w:jc w:val="right"/>
                            <w:rPr>
                              <w:rStyle w:val="SubtleEmphasis"/>
                              <w:rFonts w:cs="Arial"/>
                              <w:color w:val="565A5C"/>
                            </w:rPr>
                          </w:pPr>
                          <w:r w:rsidRPr="00403516">
                            <w:rPr>
                              <w:rStyle w:val="SubtleEmphasis"/>
                              <w:rFonts w:cs="Arial"/>
                              <w:color w:val="565A5C"/>
                            </w:rPr>
                            <w:t>N</w:t>
                          </w:r>
                          <w:r w:rsidR="00D3043C" w:rsidRPr="00403516">
                            <w:rPr>
                              <w:rStyle w:val="SubtleEmphasis"/>
                              <w:rFonts w:cs="Arial"/>
                              <w:caps w:val="0"/>
                              <w:color w:val="565A5C"/>
                            </w:rPr>
                            <w:t>ode4</w:t>
                          </w:r>
                          <w:r w:rsidRPr="00403516">
                            <w:rPr>
                              <w:rStyle w:val="SubtleEmphasis"/>
                              <w:rFonts w:cs="Arial"/>
                              <w:color w:val="565A5C"/>
                            </w:rPr>
                            <w:t xml:space="preserve"> L</w:t>
                          </w:r>
                          <w:r w:rsidR="00D3043C" w:rsidRPr="00403516">
                            <w:rPr>
                              <w:rStyle w:val="SubtleEmphasis"/>
                              <w:rFonts w:cs="Arial"/>
                              <w:caps w:val="0"/>
                              <w:color w:val="565A5C"/>
                            </w:rPr>
                            <w:t>imited</w:t>
                          </w:r>
                        </w:p>
                      </w:sdtContent>
                    </w:sdt>
                    <w:sdt>
                      <w:sdtPr>
                        <w:rPr>
                          <w:rStyle w:val="Emphasis"/>
                          <w:rFonts w:cs="Arial"/>
                          <w:b w:val="0"/>
                          <w:color w:val="8E908F"/>
                        </w:rPr>
                        <w:alias w:val="Publish Date"/>
                        <w:tag w:val=""/>
                        <w:id w:val="1041089247"/>
                        <w:dataBinding w:prefixMappings="xmlns:ns0='http://schemas.microsoft.com/office/2006/coverPageProps' " w:xpath="/ns0:CoverPageProperties[1]/ns0:PublishDate[1]" w:storeItemID="{55AF091B-3C7A-41E3-B477-F2FDAA23CFDA}"/>
                        <w:date w:fullDate="2017-07-17T00:00:00Z">
                          <w:dateFormat w:val="dd/MM/yyyy"/>
                          <w:lid w:val="en-GB"/>
                          <w:storeMappedDataAs w:val="dateTime"/>
                          <w:calendar w:val="gregorian"/>
                        </w:date>
                      </w:sdtPr>
                      <w:sdtEndPr>
                        <w:rPr>
                          <w:rStyle w:val="Emphasis"/>
                        </w:rPr>
                      </w:sdtEndPr>
                      <w:sdtContent>
                        <w:p w14:paraId="752EF15F" w14:textId="2B56EA5E" w:rsidR="001561F9" w:rsidRPr="00AF7FCB" w:rsidRDefault="001561F9" w:rsidP="00A04071">
                          <w:pPr>
                            <w:ind w:right="496"/>
                            <w:jc w:val="right"/>
                            <w:rPr>
                              <w:rStyle w:val="Emphasis"/>
                              <w:rFonts w:cs="Arial"/>
                              <w:b w:val="0"/>
                              <w:color w:val="8E908F"/>
                            </w:rPr>
                          </w:pPr>
                          <w:r>
                            <w:rPr>
                              <w:rStyle w:val="Emphasis"/>
                              <w:rFonts w:cs="Arial"/>
                              <w:b w:val="0"/>
                              <w:color w:val="8E908F"/>
                            </w:rPr>
                            <w:t>17/07/2017</w:t>
                          </w:r>
                        </w:p>
                      </w:sdtContent>
                    </w:sdt>
                    <w:p w14:paraId="24EED2DB" w14:textId="77777777" w:rsidR="001561F9" w:rsidRDefault="001561F9" w:rsidP="00A04071">
                      <w:pPr>
                        <w:jc w:val="right"/>
                      </w:pPr>
                    </w:p>
                  </w:txbxContent>
                </v:textbox>
                <w10:wrap type="square"/>
              </v:shape>
            </w:pict>
          </mc:Fallback>
        </mc:AlternateContent>
      </w:r>
      <w:r w:rsidR="00A04071">
        <w:br w:type="page"/>
      </w:r>
    </w:p>
    <w:p w14:paraId="5AAAE21D" w14:textId="5C7AF70A" w:rsidR="006834B6" w:rsidRPr="00FA6AC4" w:rsidRDefault="006834B6" w:rsidP="00FA6AC4">
      <w:pPr>
        <w:pStyle w:val="Heading1"/>
      </w:pPr>
      <w:r w:rsidRPr="00FA6AC4">
        <w:lastRenderedPageBreak/>
        <w:t>S</w:t>
      </w:r>
      <w:r w:rsidR="00D3043C" w:rsidRPr="00FA6AC4">
        <w:t>chedule</w:t>
      </w:r>
      <w:r w:rsidR="00FA6AC4" w:rsidRPr="00FA6AC4">
        <w:t xml:space="preserve"> d</w:t>
      </w:r>
      <w:r w:rsidR="00D3043C" w:rsidRPr="00FA6AC4">
        <w:t>ocument</w:t>
      </w:r>
    </w:p>
    <w:p w14:paraId="4D030C29" w14:textId="2C126FBB" w:rsidR="00450C87" w:rsidRPr="00D3043C" w:rsidRDefault="00450C87" w:rsidP="00D3043C">
      <w:pPr>
        <w:jc w:val="left"/>
        <w:rPr>
          <w:b/>
          <w:color w:val="FF8E00"/>
          <w:sz w:val="28"/>
          <w:szCs w:val="28"/>
        </w:rPr>
      </w:pPr>
      <w:r w:rsidRPr="00D3043C">
        <w:rPr>
          <w:b/>
          <w:color w:val="FF8E00"/>
          <w:sz w:val="28"/>
          <w:szCs w:val="28"/>
        </w:rPr>
        <w:t>D</w:t>
      </w:r>
      <w:r w:rsidR="00FA6AC4">
        <w:rPr>
          <w:b/>
          <w:color w:val="FF8E00"/>
          <w:sz w:val="28"/>
          <w:szCs w:val="28"/>
        </w:rPr>
        <w:t>ata management and ancillary s</w:t>
      </w:r>
      <w:r w:rsidRPr="00D3043C">
        <w:rPr>
          <w:b/>
          <w:color w:val="FF8E00"/>
          <w:sz w:val="28"/>
          <w:szCs w:val="28"/>
        </w:rPr>
        <w:t>ervices</w:t>
      </w:r>
    </w:p>
    <w:p w14:paraId="360E92C2" w14:textId="6C7D7788" w:rsidR="00B644C8" w:rsidRDefault="00FC58B8" w:rsidP="00450C87">
      <w:r w:rsidRPr="00F27BA0">
        <w:t>This schedule contains additional terms and conditions, service description &amp; Serv</w:t>
      </w:r>
      <w:r>
        <w:t xml:space="preserve">ice Levels applicable to the </w:t>
      </w:r>
      <w:r w:rsidR="00C949F0">
        <w:t>Data Management and Ancillary services</w:t>
      </w:r>
      <w:r w:rsidR="00FF7BB4">
        <w:t xml:space="preserve"> and should be viewed with associated Order Form, Node4’s General Terms and Conditions and the Acceptable Use Policy.</w:t>
      </w:r>
    </w:p>
    <w:p w14:paraId="4277449F" w14:textId="77889E00" w:rsidR="00450C87" w:rsidRDefault="00450C87" w:rsidP="00CE393B">
      <w:pPr>
        <w:pStyle w:val="Heading2"/>
      </w:pPr>
      <w:r w:rsidRPr="00CE393B">
        <w:t>O</w:t>
      </w:r>
      <w:r w:rsidR="001E2F28" w:rsidRPr="00CE393B">
        <w:t>verview</w:t>
      </w:r>
    </w:p>
    <w:p w14:paraId="5DB52795" w14:textId="72BFC862" w:rsidR="008F01FA" w:rsidRPr="003013B0" w:rsidRDefault="008F01FA" w:rsidP="00450C87">
      <w:r>
        <w:t xml:space="preserve">Node4 Data Management and Ancillary </w:t>
      </w:r>
      <w:r w:rsidRPr="003013B0">
        <w:t>Service</w:t>
      </w:r>
      <w:r>
        <w:t>s provide</w:t>
      </w:r>
      <w:r w:rsidRPr="003013B0">
        <w:t xml:space="preserve"> the Customer with access to an operational support service. There are various components to the Managed Service and the customer solution </w:t>
      </w:r>
      <w:r>
        <w:t xml:space="preserve">as stated in the Service Order </w:t>
      </w:r>
      <w:r w:rsidRPr="003013B0">
        <w:t>will be formed from a number of these:</w:t>
      </w:r>
    </w:p>
    <w:p w14:paraId="1C8DD2A9" w14:textId="77777777" w:rsidR="008F01FA" w:rsidRPr="00595B74" w:rsidRDefault="008F01FA" w:rsidP="00CE393B">
      <w:pPr>
        <w:pStyle w:val="ListParagraph"/>
        <w:numPr>
          <w:ilvl w:val="0"/>
          <w:numId w:val="4"/>
        </w:numPr>
      </w:pPr>
      <w:r w:rsidRPr="00595B74">
        <w:t>On-Boarding Service;</w:t>
      </w:r>
    </w:p>
    <w:p w14:paraId="07D7639B" w14:textId="77777777" w:rsidR="008F01FA" w:rsidRPr="00595B74" w:rsidRDefault="008F01FA" w:rsidP="00CE393B">
      <w:pPr>
        <w:pStyle w:val="ListParagraph"/>
        <w:numPr>
          <w:ilvl w:val="0"/>
          <w:numId w:val="4"/>
        </w:numPr>
      </w:pPr>
      <w:r w:rsidRPr="00595B74">
        <w:t>Incident &amp; Event Management;</w:t>
      </w:r>
    </w:p>
    <w:p w14:paraId="6D14EC5A" w14:textId="77777777" w:rsidR="008F01FA" w:rsidRPr="00595B74" w:rsidRDefault="008F01FA" w:rsidP="00CE393B">
      <w:pPr>
        <w:pStyle w:val="ListParagraph"/>
        <w:numPr>
          <w:ilvl w:val="0"/>
          <w:numId w:val="4"/>
        </w:numPr>
      </w:pPr>
      <w:r w:rsidRPr="00595B74">
        <w:t>Customer Request Fulfilment;</w:t>
      </w:r>
    </w:p>
    <w:p w14:paraId="56BC17A1" w14:textId="77777777" w:rsidR="008F01FA" w:rsidRPr="00595B74" w:rsidRDefault="008F01FA" w:rsidP="00CE393B">
      <w:pPr>
        <w:pStyle w:val="ListParagraph"/>
        <w:numPr>
          <w:ilvl w:val="0"/>
          <w:numId w:val="4"/>
        </w:numPr>
      </w:pPr>
      <w:r w:rsidRPr="00595B74">
        <w:t>Proactive Monitoring;</w:t>
      </w:r>
    </w:p>
    <w:p w14:paraId="08E35ABA" w14:textId="77777777" w:rsidR="008F01FA" w:rsidRPr="00595B74" w:rsidRDefault="008F01FA" w:rsidP="00CE393B">
      <w:pPr>
        <w:pStyle w:val="ListParagraph"/>
        <w:numPr>
          <w:ilvl w:val="0"/>
          <w:numId w:val="4"/>
        </w:numPr>
      </w:pPr>
      <w:r w:rsidRPr="00595B74">
        <w:t>Performance Tuning;</w:t>
      </w:r>
    </w:p>
    <w:p w14:paraId="151C3FE1" w14:textId="77777777" w:rsidR="008F01FA" w:rsidRPr="00595B74" w:rsidRDefault="008F01FA" w:rsidP="00CE393B">
      <w:pPr>
        <w:pStyle w:val="ListParagraph"/>
        <w:numPr>
          <w:ilvl w:val="0"/>
          <w:numId w:val="4"/>
        </w:numPr>
      </w:pPr>
      <w:r w:rsidRPr="00595B74">
        <w:t>Enhanced Patch Management;</w:t>
      </w:r>
    </w:p>
    <w:p w14:paraId="77CB57F4" w14:textId="77777777" w:rsidR="008F01FA" w:rsidRPr="00595B74" w:rsidRDefault="008F01FA" w:rsidP="00CE393B">
      <w:pPr>
        <w:pStyle w:val="ListParagraph"/>
        <w:numPr>
          <w:ilvl w:val="0"/>
          <w:numId w:val="4"/>
        </w:numPr>
      </w:pPr>
      <w:r w:rsidRPr="00595B74">
        <w:t>Back Up Management;</w:t>
      </w:r>
    </w:p>
    <w:p w14:paraId="4EFA14D7" w14:textId="77777777" w:rsidR="008F01FA" w:rsidRPr="00595B74" w:rsidRDefault="008F01FA" w:rsidP="00CE393B">
      <w:pPr>
        <w:pStyle w:val="ListParagraph"/>
        <w:numPr>
          <w:ilvl w:val="0"/>
          <w:numId w:val="4"/>
        </w:numPr>
      </w:pPr>
      <w:r w:rsidRPr="00595B74">
        <w:t>Disaster Recovery Test Support and</w:t>
      </w:r>
    </w:p>
    <w:p w14:paraId="72520EB2" w14:textId="26677ADA" w:rsidR="008F01FA" w:rsidRDefault="008F01FA" w:rsidP="00CE393B">
      <w:pPr>
        <w:pStyle w:val="ListParagraph"/>
        <w:numPr>
          <w:ilvl w:val="0"/>
          <w:numId w:val="4"/>
        </w:numPr>
      </w:pPr>
      <w:r>
        <w:t>Consulting Service</w:t>
      </w:r>
      <w:r w:rsidRPr="00595B74">
        <w:t>,</w:t>
      </w:r>
    </w:p>
    <w:p w14:paraId="21D4A8B9" w14:textId="34C15D17" w:rsidR="008F01FA" w:rsidRPr="00595B74" w:rsidRDefault="008F01FA" w:rsidP="008F01FA">
      <w:r w:rsidRPr="00595B74">
        <w:t>(</w:t>
      </w:r>
      <w:r w:rsidR="00C31225" w:rsidRPr="00595B74">
        <w:t>Each</w:t>
      </w:r>
      <w:r w:rsidRPr="00595B74">
        <w:t xml:space="preserve"> a </w:t>
      </w:r>
      <w:r w:rsidRPr="00595B74">
        <w:rPr>
          <w:b/>
        </w:rPr>
        <w:t>“Service”</w:t>
      </w:r>
      <w:r w:rsidRPr="00595B74">
        <w:t xml:space="preserve"> and together the </w:t>
      </w:r>
      <w:r w:rsidRPr="00595B74">
        <w:rPr>
          <w:b/>
        </w:rPr>
        <w:t>“Services”</w:t>
      </w:r>
      <w:r w:rsidRPr="00595B74">
        <w:t>).</w:t>
      </w:r>
      <w:r>
        <w:t xml:space="preserve"> </w:t>
      </w:r>
    </w:p>
    <w:p w14:paraId="61E3C37A" w14:textId="1995F91D" w:rsidR="008F01FA" w:rsidRDefault="008F01FA" w:rsidP="008F01FA">
      <w:r w:rsidRPr="00595B74">
        <w:t xml:space="preserve">It should be noted that </w:t>
      </w:r>
      <w:r>
        <w:t>the Consulting Services</w:t>
      </w:r>
      <w:r w:rsidRPr="00595B74">
        <w:t xml:space="preserve"> may form part of a </w:t>
      </w:r>
      <w:r>
        <w:t xml:space="preserve">Data </w:t>
      </w:r>
      <w:r w:rsidRPr="00595B74">
        <w:t>Manag</w:t>
      </w:r>
      <w:r>
        <w:t>ement and Ancillary S</w:t>
      </w:r>
      <w:r w:rsidRPr="00595B74">
        <w:t>ervice solution</w:t>
      </w:r>
      <w:r>
        <w:t>,</w:t>
      </w:r>
      <w:r w:rsidRPr="00595B74">
        <w:t xml:space="preserve"> </w:t>
      </w:r>
      <w:r>
        <w:t xml:space="preserve">details of the Consulting Service are covered in the Consulting Services Service Schedule </w:t>
      </w:r>
      <w:r w:rsidRPr="00595B74">
        <w:t>and is not covered by this document.</w:t>
      </w:r>
    </w:p>
    <w:p w14:paraId="4F57C3FB" w14:textId="7D576392" w:rsidR="00B644C8" w:rsidRPr="00F576F0" w:rsidRDefault="00F576F0" w:rsidP="00CE393B">
      <w:pPr>
        <w:pStyle w:val="Heading2"/>
      </w:pPr>
      <w:r w:rsidRPr="00CE393B">
        <w:t>D</w:t>
      </w:r>
      <w:r w:rsidR="001E2F28" w:rsidRPr="00CE393B">
        <w:t>efinitions</w:t>
      </w:r>
    </w:p>
    <w:p w14:paraId="01FCDF49" w14:textId="77D6ED20" w:rsidR="00F231FD" w:rsidRDefault="00F231FD" w:rsidP="00F231FD">
      <w:r w:rsidRPr="000B3794">
        <w:rPr>
          <w:b/>
        </w:rPr>
        <w:t>“Consulting Day”</w:t>
      </w:r>
      <w:r w:rsidRPr="000B3794">
        <w:t xml:space="preserve"> is a </w:t>
      </w:r>
      <w:r w:rsidR="00D33E41">
        <w:t>Business</w:t>
      </w:r>
      <w:r w:rsidR="00D33E41" w:rsidRPr="000B3794">
        <w:t xml:space="preserve"> </w:t>
      </w:r>
      <w:r w:rsidRPr="000B3794">
        <w:t>Day dedicated to Consult</w:t>
      </w:r>
      <w:r>
        <w:t>ing Services as defined in this Schedule</w:t>
      </w:r>
      <w:r w:rsidRPr="00800EF6">
        <w:t xml:space="preserve"> </w:t>
      </w:r>
    </w:p>
    <w:p w14:paraId="39CACAB7" w14:textId="2DECCBA9" w:rsidR="00F231FD" w:rsidRDefault="00F231FD" w:rsidP="00F231FD">
      <w:r w:rsidRPr="000B3794">
        <w:rPr>
          <w:b/>
        </w:rPr>
        <w:t>Consulting Service</w:t>
      </w:r>
      <w:r>
        <w:rPr>
          <w:b/>
        </w:rPr>
        <w:t>(s)</w:t>
      </w:r>
      <w:r w:rsidRPr="000B3794">
        <w:rPr>
          <w:b/>
        </w:rPr>
        <w:t>”</w:t>
      </w:r>
      <w:r w:rsidRPr="000B3794">
        <w:t xml:space="preserve"> </w:t>
      </w:r>
      <w:r w:rsidRPr="00595B74">
        <w:t xml:space="preserve">means the consulting Service provided by </w:t>
      </w:r>
      <w:r>
        <w:t>Node4 as described in Consultancy Service Schedule</w:t>
      </w:r>
      <w:r w:rsidRPr="00595B74">
        <w:t>;</w:t>
      </w:r>
    </w:p>
    <w:p w14:paraId="125C5E51" w14:textId="000A3DDF" w:rsidR="00473925" w:rsidRDefault="00473925" w:rsidP="00473925">
      <w:r w:rsidRPr="00595B74">
        <w:rPr>
          <w:rFonts w:eastAsia="MS PGothic"/>
          <w:b/>
          <w:kern w:val="24"/>
        </w:rPr>
        <w:t>“Customer Request Ticket”</w:t>
      </w:r>
      <w:r w:rsidRPr="00595B74">
        <w:t xml:space="preserve"> means a case opened by the Customer for the purposes of Request Fulf</w:t>
      </w:r>
      <w:r>
        <w:t>ilment and investigated by the Node4 Service Desk</w:t>
      </w:r>
      <w:r w:rsidRPr="00595B74">
        <w:t>;</w:t>
      </w:r>
    </w:p>
    <w:p w14:paraId="53AC92D6" w14:textId="06AEF396" w:rsidR="00F231FD" w:rsidRDefault="00F231FD" w:rsidP="00824767">
      <w:r w:rsidRPr="00595B74">
        <w:rPr>
          <w:b/>
          <w:bCs/>
        </w:rPr>
        <w:t xml:space="preserve">“Database Log-on Account” </w:t>
      </w:r>
      <w:r w:rsidRPr="00595B74">
        <w:t>means a database account with administrative level access;</w:t>
      </w:r>
    </w:p>
    <w:p w14:paraId="4C96B646" w14:textId="723E89B2" w:rsidR="00824767" w:rsidRPr="00824767" w:rsidRDefault="00824767" w:rsidP="00824767">
      <w:pPr>
        <w:rPr>
          <w:bCs/>
        </w:rPr>
      </w:pPr>
      <w:r w:rsidRPr="00595B74">
        <w:rPr>
          <w:b/>
          <w:bCs/>
        </w:rPr>
        <w:t xml:space="preserve">“Event” </w:t>
      </w:r>
      <w:r w:rsidRPr="00595B74">
        <w:rPr>
          <w:bCs/>
        </w:rPr>
        <w:t xml:space="preserve">means when </w:t>
      </w:r>
      <w:r w:rsidRPr="00595B74">
        <w:t xml:space="preserve">any monitored component of the Supported Software is not operating pursuant to its standard functionality, as identified by a Monitoring Agent and indicated by alerts on </w:t>
      </w:r>
      <w:r>
        <w:t>Node4’s</w:t>
      </w:r>
      <w:r w:rsidRPr="00595B74">
        <w:t xml:space="preserve"> </w:t>
      </w:r>
      <w:r>
        <w:t>Monitoring Host</w:t>
      </w:r>
      <w:r w:rsidRPr="00595B74">
        <w:t>;</w:t>
      </w:r>
    </w:p>
    <w:p w14:paraId="32B9D2D7" w14:textId="242F18B8" w:rsidR="00F231FD" w:rsidRPr="00595B74" w:rsidRDefault="00F231FD" w:rsidP="00F231FD">
      <w:r w:rsidRPr="00595B74">
        <w:rPr>
          <w:b/>
        </w:rPr>
        <w:t>“Initial Response”</w:t>
      </w:r>
      <w:r w:rsidRPr="00595B74">
        <w:t xml:space="preserve"> means the period of time beginning when the Customer raises a Ticket and ending when </w:t>
      </w:r>
      <w:r>
        <w:t>Node4</w:t>
      </w:r>
      <w:r w:rsidRPr="00595B74">
        <w:t xml:space="preserve"> provides an email or telephone response to the designated Customer contact</w:t>
      </w:r>
      <w:r>
        <w:t>;</w:t>
      </w:r>
    </w:p>
    <w:p w14:paraId="1DDA4B9D" w14:textId="77777777" w:rsidR="00F231FD" w:rsidRDefault="00F231FD" w:rsidP="00F231FD">
      <w:r w:rsidRPr="00595B74">
        <w:rPr>
          <w:b/>
        </w:rPr>
        <w:t xml:space="preserve">“Monitoring Agent” </w:t>
      </w:r>
      <w:r w:rsidRPr="00595B74">
        <w:t xml:space="preserve">means software deployed on a Customer </w:t>
      </w:r>
      <w:r>
        <w:t xml:space="preserve">target </w:t>
      </w:r>
      <w:r w:rsidRPr="00595B74">
        <w:t xml:space="preserve">server to support </w:t>
      </w:r>
      <w:r>
        <w:t>advanced monitoring</w:t>
      </w:r>
      <w:r w:rsidRPr="00595B74">
        <w:t>;</w:t>
      </w:r>
    </w:p>
    <w:p w14:paraId="5A9380C7" w14:textId="0E0DA788" w:rsidR="00F231FD" w:rsidRPr="004E5695" w:rsidRDefault="00F231FD" w:rsidP="00F231FD">
      <w:r>
        <w:rPr>
          <w:b/>
        </w:rPr>
        <w:t xml:space="preserve">“Monitoring Host” </w:t>
      </w:r>
      <w:r>
        <w:t>means software deployed on a dedicated Customer server at the Customer Site to allow the installation of Node4 tools;</w:t>
      </w:r>
    </w:p>
    <w:p w14:paraId="67C03BB7" w14:textId="22321FEA" w:rsidR="00F231FD" w:rsidRPr="00595B74" w:rsidRDefault="00F231FD" w:rsidP="00F231FD">
      <w:pPr>
        <w:rPr>
          <w:b/>
        </w:rPr>
      </w:pPr>
      <w:r w:rsidRPr="00595B74">
        <w:rPr>
          <w:b/>
        </w:rPr>
        <w:t>“Patch Management”</w:t>
      </w:r>
      <w:r w:rsidRPr="00595B74">
        <w:t xml:space="preserve"> means the patch </w:t>
      </w:r>
      <w:r>
        <w:t xml:space="preserve">management Service provided by Node4 </w:t>
      </w:r>
      <w:r w:rsidRPr="00595B74">
        <w:t>pursuant to the Patchi</w:t>
      </w:r>
      <w:r>
        <w:t>ng Schedule and this Schedule</w:t>
      </w:r>
      <w:r w:rsidRPr="00595B74">
        <w:t>;</w:t>
      </w:r>
    </w:p>
    <w:p w14:paraId="54BFCB1F" w14:textId="77777777" w:rsidR="00F231FD" w:rsidRPr="00595B74" w:rsidRDefault="00F231FD" w:rsidP="00F231FD">
      <w:r w:rsidRPr="00595B74">
        <w:rPr>
          <w:b/>
        </w:rPr>
        <w:t xml:space="preserve">“Patching Schedule” </w:t>
      </w:r>
      <w:r w:rsidRPr="00595B74">
        <w:t>means</w:t>
      </w:r>
      <w:r w:rsidRPr="00595B74">
        <w:rPr>
          <w:b/>
        </w:rPr>
        <w:t xml:space="preserve"> </w:t>
      </w:r>
      <w:r w:rsidRPr="00595B74">
        <w:t>an agreed and documented plan detailing the policy and procedure for implementing software patches;</w:t>
      </w:r>
    </w:p>
    <w:p w14:paraId="5CE056D3" w14:textId="0F2B14DA" w:rsidR="00F231FD" w:rsidRPr="00595B74" w:rsidRDefault="00F231FD" w:rsidP="00F231FD">
      <w:r w:rsidRPr="00595B74">
        <w:rPr>
          <w:b/>
        </w:rPr>
        <w:t xml:space="preserve">“Server Log-on Account” </w:t>
      </w:r>
      <w:r w:rsidRPr="00595B74">
        <w:t xml:space="preserve">means a domain account with administrative level access for </w:t>
      </w:r>
      <w:r>
        <w:t>Node4</w:t>
      </w:r>
      <w:r w:rsidRPr="00595B74">
        <w:t>;</w:t>
      </w:r>
    </w:p>
    <w:p w14:paraId="256FD271" w14:textId="51C4330E" w:rsidR="00F231FD" w:rsidRPr="00595B74" w:rsidRDefault="00F231FD" w:rsidP="00F231FD">
      <w:r w:rsidRPr="00595B74">
        <w:rPr>
          <w:b/>
        </w:rPr>
        <w:t>“Severity Level”</w:t>
      </w:r>
      <w:r w:rsidRPr="00595B74">
        <w:t xml:space="preserve"> shall have the meaning prescribed in </w:t>
      </w:r>
      <w:r w:rsidRPr="006C2E02">
        <w:t xml:space="preserve">clause </w:t>
      </w:r>
      <w:r w:rsidR="00C137C1">
        <w:t>7</w:t>
      </w:r>
      <w:r w:rsidRPr="006C2E02">
        <w:t>.</w:t>
      </w:r>
      <w:r w:rsidR="00082A44">
        <w:t>2</w:t>
      </w:r>
      <w:r w:rsidRPr="006C2E02">
        <w:t xml:space="preserve"> of </w:t>
      </w:r>
      <w:r>
        <w:t>this Schedule</w:t>
      </w:r>
      <w:r w:rsidRPr="00595B74">
        <w:t>;</w:t>
      </w:r>
    </w:p>
    <w:p w14:paraId="4DE90135" w14:textId="77777777" w:rsidR="00F231FD" w:rsidRPr="00595B74" w:rsidRDefault="00F231FD" w:rsidP="00F231FD">
      <w:r w:rsidRPr="00595B74">
        <w:rPr>
          <w:b/>
        </w:rPr>
        <w:t>“Support Level”</w:t>
      </w:r>
      <w:r w:rsidRPr="00595B74">
        <w:t xml:space="preserve"> means the level of support purchased by the Customer as set out in a </w:t>
      </w:r>
      <w:r>
        <w:t>Service</w:t>
      </w:r>
      <w:r w:rsidRPr="00595B74">
        <w:t xml:space="preserve"> Order;</w:t>
      </w:r>
    </w:p>
    <w:p w14:paraId="7EE02504" w14:textId="0DBC4B66" w:rsidR="00F231FD" w:rsidRPr="00662F67" w:rsidRDefault="00F231FD" w:rsidP="00F231FD">
      <w:r>
        <w:rPr>
          <w:b/>
          <w:color w:val="000000"/>
        </w:rPr>
        <w:t xml:space="preserve">“Supported Software” </w:t>
      </w:r>
      <w:r>
        <w:rPr>
          <w:color w:val="000000"/>
        </w:rPr>
        <w:t xml:space="preserve">means the database software component of the Customer System </w:t>
      </w:r>
      <w:r w:rsidRPr="00A0070A">
        <w:t xml:space="preserve">directly under the </w:t>
      </w:r>
      <w:r>
        <w:t>support by</w:t>
      </w:r>
      <w:r w:rsidRPr="00A0070A">
        <w:t xml:space="preserve"> </w:t>
      </w:r>
      <w:r>
        <w:t>Node4 as set out in a Service Order;</w:t>
      </w:r>
    </w:p>
    <w:p w14:paraId="0BA73FB9" w14:textId="0BC15AA6" w:rsidR="00F231FD" w:rsidRDefault="00F231FD" w:rsidP="00F231FD">
      <w:r w:rsidRPr="00595B74">
        <w:rPr>
          <w:b/>
          <w:bCs/>
        </w:rPr>
        <w:t>"Target Re</w:t>
      </w:r>
      <w:r>
        <w:rPr>
          <w:b/>
          <w:bCs/>
        </w:rPr>
        <w:t>medial Action</w:t>
      </w:r>
      <w:r w:rsidRPr="00595B74">
        <w:rPr>
          <w:b/>
          <w:bCs/>
        </w:rPr>
        <w:t xml:space="preserve"> Time" </w:t>
      </w:r>
      <w:r w:rsidRPr="00595B74">
        <w:t xml:space="preserve">means in relation to Service Levels for a Ticket raised under this Schedule, the length of time, commencing immediately following </w:t>
      </w:r>
      <w:r>
        <w:t>the Initial Response, by which Node4</w:t>
      </w:r>
      <w:r w:rsidRPr="00595B74">
        <w:t xml:space="preserve"> shall make reasonable endeavours to </w:t>
      </w:r>
      <w:r>
        <w:t>commence remedial action</w:t>
      </w:r>
      <w:r w:rsidRPr="00595B74">
        <w:t>;</w:t>
      </w:r>
    </w:p>
    <w:p w14:paraId="13BF3B4B" w14:textId="7CC474E7" w:rsidR="00C137C1" w:rsidRDefault="00C137C1" w:rsidP="00F231FD">
      <w:r w:rsidRPr="001905BE">
        <w:rPr>
          <w:b/>
        </w:rPr>
        <w:lastRenderedPageBreak/>
        <w:t xml:space="preserve">“Ticket” </w:t>
      </w:r>
      <w:r>
        <w:t>means a Trouble Ticket and/or Customer Request Ticket; and</w:t>
      </w:r>
    </w:p>
    <w:p w14:paraId="17C5C6FE" w14:textId="51E3977C" w:rsidR="00C137C1" w:rsidRDefault="00C137C1" w:rsidP="00F231FD">
      <w:r w:rsidRPr="001905BE">
        <w:rPr>
          <w:b/>
        </w:rPr>
        <w:t>“Trouble Ticket”</w:t>
      </w:r>
      <w:r w:rsidRPr="001905BE">
        <w:t xml:space="preserve"> means a case opened to investigate an Event or Incident.</w:t>
      </w:r>
    </w:p>
    <w:p w14:paraId="33F1DB97" w14:textId="02E22914" w:rsidR="00B644C8" w:rsidRPr="00B43D80" w:rsidRDefault="00B43D80" w:rsidP="00CE393B">
      <w:pPr>
        <w:pStyle w:val="Heading2"/>
      </w:pPr>
      <w:r w:rsidRPr="00CE393B">
        <w:t>S</w:t>
      </w:r>
      <w:r w:rsidR="001E2F28" w:rsidRPr="00CE393B">
        <w:t>pecific</w:t>
      </w:r>
      <w:r w:rsidR="00FA6AC4">
        <w:t xml:space="preserve"> t</w:t>
      </w:r>
      <w:r w:rsidR="001E2F28" w:rsidRPr="00B43D80">
        <w:t>erms</w:t>
      </w:r>
    </w:p>
    <w:p w14:paraId="6081FC05" w14:textId="31E67555" w:rsidR="00B644C8" w:rsidRDefault="00B644C8" w:rsidP="00B644C8">
      <w:pPr>
        <w:rPr>
          <w:rFonts w:cs="Helvetica-Narrow"/>
          <w:color w:val="auto"/>
        </w:rPr>
      </w:pPr>
      <w:r w:rsidRPr="00800EF6">
        <w:rPr>
          <w:rFonts w:cs="Helvetica-Narrow"/>
          <w:color w:val="auto"/>
        </w:rPr>
        <w:t xml:space="preserve">The following terms and conditions shall apply when Node4 provides </w:t>
      </w:r>
      <w:r w:rsidR="00800EF6" w:rsidRPr="00800EF6">
        <w:rPr>
          <w:rFonts w:cs="Helvetica-Narrow"/>
          <w:color w:val="auto"/>
        </w:rPr>
        <w:t xml:space="preserve">Data Management and Ancillary </w:t>
      </w:r>
      <w:r w:rsidRPr="00800EF6">
        <w:rPr>
          <w:rFonts w:cs="Helvetica-Narrow"/>
          <w:color w:val="auto"/>
        </w:rPr>
        <w:t>Services to the Customer.</w:t>
      </w:r>
    </w:p>
    <w:p w14:paraId="713018C4" w14:textId="21507434" w:rsidR="00B43D80" w:rsidRPr="00CE393B" w:rsidRDefault="00B43D80" w:rsidP="00CE393B">
      <w:pPr>
        <w:pStyle w:val="Heading3"/>
      </w:pPr>
      <w:r w:rsidRPr="00CE393B">
        <w:t>O</w:t>
      </w:r>
      <w:r w:rsidR="001E2F28" w:rsidRPr="00CE393B">
        <w:t>rdering</w:t>
      </w:r>
    </w:p>
    <w:p w14:paraId="051E8FF7" w14:textId="3081FDEF" w:rsidR="0075571A" w:rsidRDefault="0075571A" w:rsidP="0075571A">
      <w:r>
        <w:t xml:space="preserve">Node4 reserves the right to reject or, subject to, amend details for any one or more Services in </w:t>
      </w:r>
      <w:proofErr w:type="spellStart"/>
      <w:r>
        <w:t>a</w:t>
      </w:r>
      <w:proofErr w:type="spellEnd"/>
      <w:r>
        <w:t xml:space="preserve"> Order Form, including the expected delivery date for a Service, if:</w:t>
      </w:r>
    </w:p>
    <w:p w14:paraId="00859827" w14:textId="2010EA2F" w:rsidR="0075571A" w:rsidRDefault="00CE393B" w:rsidP="00CE393B">
      <w:pPr>
        <w:pStyle w:val="ListParagraph"/>
        <w:numPr>
          <w:ilvl w:val="0"/>
          <w:numId w:val="45"/>
        </w:numPr>
      </w:pPr>
      <w:r>
        <w:t>T</w:t>
      </w:r>
      <w:r w:rsidR="0075571A">
        <w:t>he cost of any third party services required for a Service change from those used in Node4’s calculation of the Fees in a</w:t>
      </w:r>
      <w:r w:rsidR="00C137C1">
        <w:t>n</w:t>
      </w:r>
      <w:r w:rsidR="0075571A">
        <w:t xml:space="preserve"> Order Form; and/or,</w:t>
      </w:r>
    </w:p>
    <w:p w14:paraId="2686A85D" w14:textId="0C689813" w:rsidR="001E2F28" w:rsidRDefault="00CE393B" w:rsidP="00CE393B">
      <w:pPr>
        <w:pStyle w:val="ListParagraph"/>
        <w:numPr>
          <w:ilvl w:val="0"/>
          <w:numId w:val="45"/>
        </w:numPr>
      </w:pPr>
      <w:r>
        <w:t>A</w:t>
      </w:r>
      <w:r w:rsidR="0075571A">
        <w:t xml:space="preserve"> Service is supplied subject to survey and such survey reveals information that was unknown to Node4 at the time of quoting and which could affect the availability, performance, delivery timeframes and/or Fees offered.</w:t>
      </w:r>
    </w:p>
    <w:p w14:paraId="23B1A1D7" w14:textId="4CB2D19E" w:rsidR="0075571A" w:rsidRDefault="0075571A" w:rsidP="001E2F28">
      <w:r>
        <w:t>If Node4 amends the details of a Service on a</w:t>
      </w:r>
      <w:r w:rsidR="00C137C1">
        <w:t>n</w:t>
      </w:r>
      <w:r>
        <w:t xml:space="preserve"> Order Form, Node4 will notify the Customer and provide Customer with a new order form for the affected Service only.</w:t>
      </w:r>
    </w:p>
    <w:p w14:paraId="2C2E9DC7" w14:textId="1778DB75" w:rsidR="0075571A" w:rsidRDefault="0075571A" w:rsidP="0075571A">
      <w:r>
        <w:t xml:space="preserve">Customer shall have five (5) </w:t>
      </w:r>
      <w:r w:rsidR="00D33E41">
        <w:t xml:space="preserve">Business </w:t>
      </w:r>
      <w:r>
        <w:t xml:space="preserve">Days to accept the changes or to cancel the affected Service. If the Customer does not accept the revised order form within five (5) </w:t>
      </w:r>
      <w:r w:rsidR="00D33E41">
        <w:t xml:space="preserve">Business </w:t>
      </w:r>
      <w:r>
        <w:t>Days of notification, Node4 reserves the right to cancel the affected Service in the Order Form without any Liability to the Customer by notice in writing to the Customer. If there are any other Services on the Order Form, these shall remain unaffected.</w:t>
      </w:r>
    </w:p>
    <w:p w14:paraId="16DD876E" w14:textId="771B4FC7" w:rsidR="005C7C24" w:rsidRPr="00CE393B" w:rsidRDefault="00F50131" w:rsidP="00CE393B">
      <w:pPr>
        <w:pStyle w:val="Heading3"/>
      </w:pPr>
      <w:r w:rsidRPr="00CE393B">
        <w:t>T</w:t>
      </w:r>
      <w:r w:rsidR="001E2F28" w:rsidRPr="00CE393B">
        <w:t>ermination</w:t>
      </w:r>
    </w:p>
    <w:p w14:paraId="788B8A58" w14:textId="50617BBC" w:rsidR="005C7C24" w:rsidRDefault="005C7C24" w:rsidP="005C7C24">
      <w:r>
        <w:t>Following Termination, at the expiry of the contract term No</w:t>
      </w:r>
      <w:r w:rsidR="00C137C1">
        <w:t>d</w:t>
      </w:r>
      <w:r>
        <w:t>e4 shall delete any collected monitoring or incident ticket data relating to the Agreement within 60 days of the expiry date.</w:t>
      </w:r>
    </w:p>
    <w:p w14:paraId="46D4BB48" w14:textId="77777777" w:rsidR="006C28B7" w:rsidRDefault="006C28B7" w:rsidP="005C7C24"/>
    <w:p w14:paraId="3FE4EFFD" w14:textId="7F241919" w:rsidR="006C28B7" w:rsidRPr="006C28B7" w:rsidRDefault="006C28B7" w:rsidP="00CE393B">
      <w:pPr>
        <w:pStyle w:val="Heading2"/>
      </w:pPr>
      <w:r w:rsidRPr="00CE393B">
        <w:t>F</w:t>
      </w:r>
      <w:r w:rsidR="001E2F28" w:rsidRPr="00CE393B">
        <w:t>ees</w:t>
      </w:r>
    </w:p>
    <w:p w14:paraId="3E3D5618" w14:textId="6A2186C8" w:rsidR="009C1417" w:rsidRDefault="00FF48A2" w:rsidP="00C32DB7">
      <w:r w:rsidRPr="007C5DB0">
        <w:t xml:space="preserve">Fees </w:t>
      </w:r>
      <w:r w:rsidR="007C5DB0" w:rsidRPr="007C5DB0">
        <w:t xml:space="preserve">for one-off Charges, Charges for the sale of Products and any other one-off Charges, upon the signature of the order form and reoccurring fees will commence when Ready </w:t>
      </w:r>
      <w:proofErr w:type="gramStart"/>
      <w:r w:rsidR="007C5DB0" w:rsidRPr="007C5DB0">
        <w:t>For</w:t>
      </w:r>
      <w:proofErr w:type="gramEnd"/>
      <w:r w:rsidR="007C5DB0" w:rsidRPr="007C5DB0">
        <w:t xml:space="preserve"> Service Notification</w:t>
      </w:r>
      <w:r w:rsidR="007C5DB0" w:rsidRPr="008F01FA">
        <w:t xml:space="preserve"> is provided by Node4, this will </w:t>
      </w:r>
      <w:r w:rsidR="009C1417" w:rsidRPr="008F01FA">
        <w:t>follow</w:t>
      </w:r>
      <w:r w:rsidR="00C32DB7">
        <w:t xml:space="preserve"> the agreed date for commencement of Service.</w:t>
      </w:r>
    </w:p>
    <w:p w14:paraId="233C8764" w14:textId="097D44B8" w:rsidR="006C28B7" w:rsidRPr="006C28B7" w:rsidRDefault="006C28B7" w:rsidP="00CE393B">
      <w:pPr>
        <w:pStyle w:val="Heading3"/>
      </w:pPr>
      <w:r w:rsidRPr="00CE393B">
        <w:t>C</w:t>
      </w:r>
      <w:r w:rsidR="001E2F28" w:rsidRPr="00CE393B">
        <w:t>onsultancy</w:t>
      </w:r>
      <w:r w:rsidR="00FA6AC4">
        <w:t xml:space="preserve"> s</w:t>
      </w:r>
      <w:r w:rsidR="001E2F28" w:rsidRPr="006C28B7">
        <w:t>ervice</w:t>
      </w:r>
      <w:r w:rsidR="00FA6AC4">
        <w:t xml:space="preserve"> f</w:t>
      </w:r>
      <w:r w:rsidR="001E2F28" w:rsidRPr="006C28B7">
        <w:t>ees</w:t>
      </w:r>
    </w:p>
    <w:p w14:paraId="5D60CF18" w14:textId="46B3E842" w:rsidR="00C32DB7" w:rsidRDefault="00C32DB7" w:rsidP="00C32DB7">
      <w:r w:rsidRPr="0038302E">
        <w:rPr>
          <w:color w:val="auto"/>
        </w:rPr>
        <w:t>Th</w:t>
      </w:r>
      <w:r w:rsidRPr="003B6880">
        <w:t xml:space="preserve">e Customer shall pay Node4 for those </w:t>
      </w:r>
      <w:r>
        <w:t>Data Management and Ancillary</w:t>
      </w:r>
      <w:r w:rsidRPr="003B6880">
        <w:t xml:space="preserve"> Services specified in the Order Form in accordance with the Order Form; </w:t>
      </w:r>
    </w:p>
    <w:p w14:paraId="7EE200DE" w14:textId="3B27A32F" w:rsidR="006C28B7" w:rsidRPr="006C28B7" w:rsidRDefault="006C28B7" w:rsidP="00CE393B">
      <w:pPr>
        <w:pStyle w:val="Heading2"/>
      </w:pPr>
      <w:r w:rsidRPr="00CE393B">
        <w:t>C</w:t>
      </w:r>
      <w:r w:rsidR="00011BF1" w:rsidRPr="00CE393B">
        <w:t>ustomer</w:t>
      </w:r>
      <w:r w:rsidR="00FA6AC4">
        <w:t xml:space="preserve"> r</w:t>
      </w:r>
      <w:r w:rsidR="00011BF1" w:rsidRPr="006C28B7">
        <w:t>esponsibilities</w:t>
      </w:r>
      <w:r w:rsidRPr="006C28B7">
        <w:t xml:space="preserve"> </w:t>
      </w:r>
    </w:p>
    <w:p w14:paraId="40D943EC" w14:textId="4A4E7162" w:rsidR="00F55FB9" w:rsidRPr="0096667C" w:rsidRDefault="00FF48A2" w:rsidP="00F55FB9">
      <w:r w:rsidRPr="00E31330">
        <w:rPr>
          <w:color w:val="auto"/>
        </w:rPr>
        <w:t xml:space="preserve">In order to deliver the service </w:t>
      </w:r>
      <w:r w:rsidR="00F55FB9" w:rsidRPr="00E31330">
        <w:rPr>
          <w:color w:val="auto"/>
        </w:rPr>
        <w:t xml:space="preserve">the following </w:t>
      </w:r>
      <w:r w:rsidR="00F55FB9" w:rsidRPr="0096667C">
        <w:t xml:space="preserve">areas are the responsibility of the Customer: </w:t>
      </w:r>
    </w:p>
    <w:p w14:paraId="6A0F7D1D" w14:textId="03FCF598" w:rsidR="00F55FB9" w:rsidRPr="003013B0" w:rsidRDefault="00011BF1" w:rsidP="00CE393B">
      <w:pPr>
        <w:pStyle w:val="ListParagraph"/>
        <w:numPr>
          <w:ilvl w:val="0"/>
          <w:numId w:val="6"/>
        </w:numPr>
      </w:pPr>
      <w:r w:rsidRPr="003013B0">
        <w:t>H</w:t>
      </w:r>
      <w:r w:rsidR="00F55FB9" w:rsidRPr="003013B0">
        <w:t>ardware availability and support;</w:t>
      </w:r>
    </w:p>
    <w:p w14:paraId="6F3FAD34" w14:textId="486FEF92" w:rsidR="00F55FB9" w:rsidRPr="003013B0" w:rsidRDefault="00011BF1" w:rsidP="00CE393B">
      <w:pPr>
        <w:pStyle w:val="ListParagraph"/>
        <w:numPr>
          <w:ilvl w:val="0"/>
          <w:numId w:val="6"/>
        </w:numPr>
      </w:pPr>
      <w:r w:rsidRPr="003013B0">
        <w:t>O</w:t>
      </w:r>
      <w:r w:rsidR="00F55FB9" w:rsidRPr="003013B0">
        <w:t>perating system availability and support;</w:t>
      </w:r>
    </w:p>
    <w:p w14:paraId="78E4A4C4" w14:textId="73B846B1" w:rsidR="00F55FB9" w:rsidRDefault="00011BF1" w:rsidP="00CE393B">
      <w:pPr>
        <w:pStyle w:val="ListParagraph"/>
        <w:numPr>
          <w:ilvl w:val="0"/>
          <w:numId w:val="6"/>
        </w:numPr>
      </w:pPr>
      <w:r w:rsidRPr="003013B0">
        <w:t>N</w:t>
      </w:r>
      <w:r w:rsidR="00F55FB9">
        <w:t>etwork availability and support; and</w:t>
      </w:r>
    </w:p>
    <w:p w14:paraId="6BAF61AF" w14:textId="5EB89096" w:rsidR="00C31225" w:rsidRDefault="00F55FB9" w:rsidP="00C31225">
      <w:pPr>
        <w:pStyle w:val="ListParagraph"/>
        <w:numPr>
          <w:ilvl w:val="0"/>
          <w:numId w:val="6"/>
        </w:numPr>
      </w:pPr>
      <w:r>
        <w:t>Any other part of the Customer System not detailed in the Service Order.</w:t>
      </w:r>
    </w:p>
    <w:p w14:paraId="42B07B61" w14:textId="03B7904C" w:rsidR="006C28B7" w:rsidRPr="006C28B7" w:rsidRDefault="006C28B7" w:rsidP="00CE393B">
      <w:pPr>
        <w:pStyle w:val="Heading2"/>
      </w:pPr>
      <w:r w:rsidRPr="00CE393B">
        <w:t>P</w:t>
      </w:r>
      <w:r w:rsidR="00011BF1" w:rsidRPr="00CE393B">
        <w:t>rovision</w:t>
      </w:r>
      <w:r w:rsidRPr="006C28B7">
        <w:t xml:space="preserve"> </w:t>
      </w:r>
      <w:r w:rsidR="00011BF1" w:rsidRPr="006C28B7">
        <w:t>of</w:t>
      </w:r>
      <w:r w:rsidR="00FA6AC4">
        <w:t xml:space="preserve"> s</w:t>
      </w:r>
      <w:r w:rsidR="00011BF1" w:rsidRPr="006C28B7">
        <w:t>ervices</w:t>
      </w:r>
    </w:p>
    <w:p w14:paraId="2504D381" w14:textId="7B8F0C23" w:rsidR="00880420" w:rsidRDefault="00880420">
      <w:pPr>
        <w:rPr>
          <w:color w:val="auto"/>
        </w:rPr>
      </w:pPr>
      <w:r w:rsidRPr="0071018F">
        <w:rPr>
          <w:color w:val="auto"/>
        </w:rPr>
        <w:t xml:space="preserve">The following aspects </w:t>
      </w:r>
      <w:r w:rsidR="0071018F" w:rsidRPr="0071018F">
        <w:rPr>
          <w:color w:val="auto"/>
        </w:rPr>
        <w:t>can be supplied</w:t>
      </w:r>
      <w:r w:rsidRPr="0071018F">
        <w:rPr>
          <w:color w:val="auto"/>
        </w:rPr>
        <w:t xml:space="preserve"> </w:t>
      </w:r>
      <w:r w:rsidR="0071018F" w:rsidRPr="0071018F">
        <w:rPr>
          <w:color w:val="auto"/>
        </w:rPr>
        <w:t>within the Data Management and Ancillary services, what is included with be defined on the Order Form.</w:t>
      </w:r>
    </w:p>
    <w:p w14:paraId="39D1A0D6" w14:textId="3B69D1A8" w:rsidR="006C28B7" w:rsidRPr="00CE393B" w:rsidRDefault="006C28B7" w:rsidP="00CE393B">
      <w:pPr>
        <w:pStyle w:val="Heading3"/>
      </w:pPr>
      <w:r w:rsidRPr="00CE393B">
        <w:t>O</w:t>
      </w:r>
      <w:r w:rsidR="00011BF1" w:rsidRPr="00CE393B">
        <w:t>n</w:t>
      </w:r>
      <w:r w:rsidR="00FA6AC4">
        <w:t>-b</w:t>
      </w:r>
      <w:r w:rsidR="00011BF1" w:rsidRPr="00CE393B">
        <w:t>oarding</w:t>
      </w:r>
      <w:r w:rsidR="00FA6AC4">
        <w:t xml:space="preserve"> s</w:t>
      </w:r>
      <w:r w:rsidR="00011BF1" w:rsidRPr="00CE393B">
        <w:t>ervice</w:t>
      </w:r>
      <w:r w:rsidRPr="00CE393B">
        <w:t xml:space="preserve"> </w:t>
      </w:r>
    </w:p>
    <w:p w14:paraId="4074EE01" w14:textId="34785223" w:rsidR="0071018F" w:rsidRPr="0096667C" w:rsidRDefault="0071018F" w:rsidP="0071018F">
      <w:r w:rsidRPr="0096667C">
        <w:t xml:space="preserve">The On-Boarding Service will be supplied along with any other Services the Customer elects to purchase under this </w:t>
      </w:r>
      <w:r>
        <w:t>Service Schedule</w:t>
      </w:r>
      <w:r w:rsidRPr="0096667C">
        <w:t xml:space="preserve">. </w:t>
      </w:r>
      <w:r>
        <w:t>Node4</w:t>
      </w:r>
      <w:r w:rsidRPr="0096667C">
        <w:t xml:space="preserve"> shall provide the On-Boarding Services through its Consulting</w:t>
      </w:r>
      <w:r>
        <w:t xml:space="preserve"> Service</w:t>
      </w:r>
      <w:r w:rsidRPr="0096667C">
        <w:t xml:space="preserve">, as </w:t>
      </w:r>
      <w:r>
        <w:t xml:space="preserve">defined in the Consultancy Service Schedule. </w:t>
      </w:r>
    </w:p>
    <w:p w14:paraId="5BEB563D" w14:textId="305AE160" w:rsidR="0071018F" w:rsidRPr="003013B0" w:rsidRDefault="0071018F" w:rsidP="0071018F">
      <w:bookmarkStart w:id="0" w:name="_Ref372208398"/>
      <w:r w:rsidRPr="003013B0">
        <w:t>Unless specified otherwise in a</w:t>
      </w:r>
      <w:r w:rsidR="00C137C1">
        <w:t>n</w:t>
      </w:r>
      <w:r w:rsidRPr="003013B0">
        <w:t xml:space="preserve"> Order</w:t>
      </w:r>
      <w:r>
        <w:t xml:space="preserve"> Form</w:t>
      </w:r>
      <w:r w:rsidRPr="003013B0">
        <w:t xml:space="preserve">, in order to provide Services </w:t>
      </w:r>
      <w:r>
        <w:t>Node4</w:t>
      </w:r>
      <w:r w:rsidRPr="003013B0">
        <w:t xml:space="preserve"> shall require:</w:t>
      </w:r>
      <w:bookmarkEnd w:id="0"/>
      <w:r w:rsidRPr="003013B0">
        <w:t xml:space="preserve"> </w:t>
      </w:r>
    </w:p>
    <w:p w14:paraId="6E583B19" w14:textId="77777777" w:rsidR="0071018F" w:rsidRDefault="0071018F" w:rsidP="00CE393B">
      <w:pPr>
        <w:pStyle w:val="ListParagraph"/>
        <w:numPr>
          <w:ilvl w:val="0"/>
          <w:numId w:val="8"/>
        </w:numPr>
      </w:pPr>
      <w:r w:rsidRPr="00DF364B">
        <w:t>S</w:t>
      </w:r>
      <w:r>
        <w:t>erver Log-on Accounts;</w:t>
      </w:r>
    </w:p>
    <w:p w14:paraId="49E01F39" w14:textId="77777777" w:rsidR="0071018F" w:rsidRDefault="0071018F" w:rsidP="00CE393B">
      <w:pPr>
        <w:pStyle w:val="ListParagraph"/>
        <w:numPr>
          <w:ilvl w:val="0"/>
          <w:numId w:val="8"/>
        </w:numPr>
      </w:pPr>
      <w:r w:rsidRPr="00DF364B">
        <w:t>D</w:t>
      </w:r>
      <w:r>
        <w:t>atabase Log-on Accounts;</w:t>
      </w:r>
    </w:p>
    <w:p w14:paraId="361AB256" w14:textId="24A00117" w:rsidR="0071018F" w:rsidRDefault="00011BF1" w:rsidP="00CE393B">
      <w:pPr>
        <w:pStyle w:val="ListParagraph"/>
        <w:numPr>
          <w:ilvl w:val="0"/>
          <w:numId w:val="8"/>
        </w:numPr>
      </w:pPr>
      <w:r>
        <w:t>A</w:t>
      </w:r>
      <w:r w:rsidR="0071018F">
        <w:t xml:space="preserve"> Monitoring Host server;</w:t>
      </w:r>
    </w:p>
    <w:p w14:paraId="393864E9" w14:textId="309432AA" w:rsidR="0071018F" w:rsidRDefault="00011BF1" w:rsidP="00CE393B">
      <w:pPr>
        <w:pStyle w:val="ListParagraph"/>
        <w:numPr>
          <w:ilvl w:val="0"/>
          <w:numId w:val="8"/>
        </w:numPr>
      </w:pPr>
      <w:r>
        <w:t>T</w:t>
      </w:r>
      <w:r w:rsidR="0071018F">
        <w:t>he opening of any firewalls ports, as agreed during On Boarding; and</w:t>
      </w:r>
    </w:p>
    <w:p w14:paraId="1F3B399D" w14:textId="7B1E8EE9" w:rsidR="0071018F" w:rsidRDefault="0071018F" w:rsidP="00CE393B">
      <w:pPr>
        <w:pStyle w:val="ListParagraph"/>
        <w:numPr>
          <w:ilvl w:val="0"/>
          <w:numId w:val="8"/>
        </w:numPr>
      </w:pPr>
      <w:r>
        <w:t>VPN access into the Customer Site and Supported Software.</w:t>
      </w:r>
    </w:p>
    <w:p w14:paraId="2DC18425" w14:textId="505338D5" w:rsidR="0071018F" w:rsidRPr="00595B74" w:rsidRDefault="0071018F" w:rsidP="0071018F">
      <w:r>
        <w:t xml:space="preserve">Node4 </w:t>
      </w:r>
      <w:r w:rsidRPr="00595B74">
        <w:t xml:space="preserve">will not be responsible for any Service failures caused by </w:t>
      </w:r>
      <w:r>
        <w:t>Customer network or server related issues impacting the ability to access the Supported Software or the Monitoring Host.</w:t>
      </w:r>
    </w:p>
    <w:p w14:paraId="5A19865B" w14:textId="4F408104" w:rsidR="0071018F" w:rsidRDefault="0071018F" w:rsidP="0071018F">
      <w:bookmarkStart w:id="1" w:name="_Ref372619797"/>
      <w:r>
        <w:lastRenderedPageBreak/>
        <w:t xml:space="preserve">Following </w:t>
      </w:r>
      <w:r w:rsidRPr="00595B74">
        <w:t>On-Boarding</w:t>
      </w:r>
      <w:r>
        <w:t>, if Node4</w:t>
      </w:r>
      <w:r w:rsidRPr="00595B74">
        <w:t xml:space="preserve"> </w:t>
      </w:r>
      <w:r>
        <w:t xml:space="preserve">has identified current issues with the Customer Supported Software Node4 </w:t>
      </w:r>
      <w:r w:rsidRPr="00595B74">
        <w:t>will provide the Customer with</w:t>
      </w:r>
      <w:bookmarkEnd w:id="1"/>
      <w:r>
        <w:t xml:space="preserve"> </w:t>
      </w:r>
      <w:r w:rsidRPr="00595B74">
        <w:t>written notice of any</w:t>
      </w:r>
      <w:r w:rsidRPr="00595B74" w:rsidDel="007711BD">
        <w:t xml:space="preserve"> </w:t>
      </w:r>
      <w:r w:rsidRPr="00595B74">
        <w:t>identified problems; and</w:t>
      </w:r>
      <w:r>
        <w:t xml:space="preserve"> </w:t>
      </w:r>
      <w:r w:rsidRPr="00595B74">
        <w:t xml:space="preserve">a list of recommendations and a timeframe for rectifying such problems and the accompanying quote(s) outlining what Charges apply for carrying out such rectification(s). </w:t>
      </w:r>
    </w:p>
    <w:p w14:paraId="76A0D803" w14:textId="432B2BE1" w:rsidR="0071018F" w:rsidRPr="00595B74" w:rsidRDefault="0071018F" w:rsidP="0071018F">
      <w:r>
        <w:t>I</w:t>
      </w:r>
      <w:r w:rsidRPr="00595B74">
        <w:t xml:space="preserve">f the recommendations </w:t>
      </w:r>
      <w:r>
        <w:t>defined</w:t>
      </w:r>
      <w:r w:rsidRPr="00595B74">
        <w:t xml:space="preserve"> have not been implemented within the specified timeframe, </w:t>
      </w:r>
      <w:r>
        <w:t xml:space="preserve">Node4 </w:t>
      </w:r>
      <w:r w:rsidRPr="00595B74">
        <w:t>reserves the right to either:</w:t>
      </w:r>
    </w:p>
    <w:p w14:paraId="138BD62A" w14:textId="75572832" w:rsidR="0071018F" w:rsidRPr="00595B74" w:rsidRDefault="00011BF1" w:rsidP="00CE393B">
      <w:pPr>
        <w:pStyle w:val="ListParagraph"/>
        <w:numPr>
          <w:ilvl w:val="0"/>
          <w:numId w:val="9"/>
        </w:numPr>
      </w:pPr>
      <w:r w:rsidRPr="00595B74">
        <w:t>A</w:t>
      </w:r>
      <w:r w:rsidR="0071018F" w:rsidRPr="00595B74">
        <w:t>mend the scope of the Services and/or amend the Charges; or</w:t>
      </w:r>
    </w:p>
    <w:p w14:paraId="4B12DD77" w14:textId="6C808C81" w:rsidR="00831387" w:rsidRDefault="00011BF1" w:rsidP="00CE393B">
      <w:pPr>
        <w:pStyle w:val="ListParagraph"/>
        <w:numPr>
          <w:ilvl w:val="0"/>
          <w:numId w:val="9"/>
        </w:numPr>
      </w:pPr>
      <w:r w:rsidRPr="00595B74">
        <w:t>T</w:t>
      </w:r>
      <w:r w:rsidR="0071018F" w:rsidRPr="00595B74">
        <w:t xml:space="preserve">erminate the </w:t>
      </w:r>
      <w:r w:rsidR="0071018F">
        <w:t>Service</w:t>
      </w:r>
      <w:r w:rsidR="0071018F" w:rsidRPr="00595B74">
        <w:t xml:space="preserve"> Order (or part thereof) relating to the Services for which such recommendations apply.</w:t>
      </w:r>
    </w:p>
    <w:p w14:paraId="2B42BCAD" w14:textId="0A00DF1C" w:rsidR="006C28B7" w:rsidRPr="00CE393B" w:rsidRDefault="006C28B7" w:rsidP="00CE393B">
      <w:pPr>
        <w:pStyle w:val="Heading3"/>
      </w:pPr>
      <w:r w:rsidRPr="00CE393B">
        <w:t>P</w:t>
      </w:r>
      <w:r w:rsidR="00011BF1" w:rsidRPr="00CE393B">
        <w:t>roactive</w:t>
      </w:r>
      <w:r w:rsidR="00FA6AC4">
        <w:t xml:space="preserve"> m</w:t>
      </w:r>
      <w:r w:rsidR="00011BF1" w:rsidRPr="00CE393B">
        <w:t>onitoring</w:t>
      </w:r>
      <w:r w:rsidRPr="00CE393B">
        <w:t xml:space="preserve"> </w:t>
      </w:r>
    </w:p>
    <w:p w14:paraId="43FF8988" w14:textId="1BA8F94E" w:rsidR="00831387" w:rsidRDefault="00831387" w:rsidP="00831387">
      <w:r>
        <w:t>Proactive Monitoring</w:t>
      </w:r>
      <w:r w:rsidRPr="003262E3">
        <w:t xml:space="preserve"> helps </w:t>
      </w:r>
      <w:r>
        <w:t xml:space="preserve">to </w:t>
      </w:r>
      <w:r w:rsidRPr="003262E3">
        <w:t xml:space="preserve">provide </w:t>
      </w:r>
      <w:r>
        <w:t>to Node4 with up to date Event information on the Customer Supported Software allowing the Node4 Service Desk to proactively open Event Tickets. U</w:t>
      </w:r>
      <w:r w:rsidRPr="00B3789B">
        <w:t>nles</w:t>
      </w:r>
      <w:r>
        <w:t>s specified otherwise in the Service Statement or Service Order the proactive monitoring Service will provide the Node4 Service Desk with event alerts based on some or all of the following parameters:</w:t>
      </w:r>
    </w:p>
    <w:p w14:paraId="3D4C0245" w14:textId="5A864B6A" w:rsidR="00831387" w:rsidRDefault="00011BF1" w:rsidP="00CE393B">
      <w:pPr>
        <w:pStyle w:val="ListParagraph"/>
        <w:ind w:left="709" w:hanging="425"/>
      </w:pPr>
      <w:r>
        <w:t>D</w:t>
      </w:r>
      <w:r w:rsidR="00831387">
        <w:t>atabase service status</w:t>
      </w:r>
    </w:p>
    <w:p w14:paraId="27FFDF12" w14:textId="58E47FB1" w:rsidR="00831387" w:rsidRDefault="00011BF1" w:rsidP="00CE393B">
      <w:pPr>
        <w:pStyle w:val="ListParagraph"/>
        <w:ind w:left="709" w:hanging="425"/>
      </w:pPr>
      <w:r>
        <w:t>F</w:t>
      </w:r>
      <w:r w:rsidR="00831387">
        <w:t>ree disk space</w:t>
      </w:r>
    </w:p>
    <w:p w14:paraId="1E1D6C64" w14:textId="144FEC36" w:rsidR="00831387" w:rsidRDefault="00011BF1" w:rsidP="00CE393B">
      <w:pPr>
        <w:pStyle w:val="ListParagraph"/>
        <w:ind w:left="709" w:hanging="425"/>
      </w:pPr>
      <w:r>
        <w:t>D</w:t>
      </w:r>
      <w:r w:rsidR="00831387">
        <w:t>atabase state</w:t>
      </w:r>
    </w:p>
    <w:p w14:paraId="69D3EA4E" w14:textId="6B6CDFE1" w:rsidR="00831387" w:rsidRDefault="00011BF1" w:rsidP="00CE393B">
      <w:pPr>
        <w:pStyle w:val="ListParagraph"/>
        <w:ind w:left="709" w:hanging="425"/>
      </w:pPr>
      <w:r>
        <w:t>D</w:t>
      </w:r>
      <w:r w:rsidR="00831387">
        <w:t>atabase errors</w:t>
      </w:r>
    </w:p>
    <w:p w14:paraId="01D09219" w14:textId="3D39C7F6" w:rsidR="00831387" w:rsidRDefault="00011BF1" w:rsidP="00CE393B">
      <w:pPr>
        <w:pStyle w:val="ListParagraph"/>
        <w:ind w:left="709" w:hanging="425"/>
      </w:pPr>
      <w:r>
        <w:t>D</w:t>
      </w:r>
      <w:r w:rsidR="00831387">
        <w:t>atabase failed jobs</w:t>
      </w:r>
    </w:p>
    <w:p w14:paraId="398181CE" w14:textId="33B25499" w:rsidR="00831387" w:rsidRDefault="00011BF1" w:rsidP="00CE393B">
      <w:pPr>
        <w:pStyle w:val="ListParagraph"/>
        <w:ind w:left="709" w:hanging="425"/>
      </w:pPr>
      <w:r>
        <w:t>D</w:t>
      </w:r>
      <w:r w:rsidR="00831387">
        <w:t>atabase replication status</w:t>
      </w:r>
    </w:p>
    <w:p w14:paraId="385D8292" w14:textId="0CAA8AF1" w:rsidR="00831387" w:rsidRDefault="00011BF1" w:rsidP="00CE393B">
      <w:pPr>
        <w:pStyle w:val="ListParagraph"/>
        <w:ind w:left="709" w:hanging="425"/>
      </w:pPr>
      <w:r>
        <w:t>D</w:t>
      </w:r>
      <w:r w:rsidR="00831387">
        <w:t>atabase mirroring status</w:t>
      </w:r>
    </w:p>
    <w:p w14:paraId="7666F77F" w14:textId="67D38B1B" w:rsidR="00831387" w:rsidRDefault="00011BF1" w:rsidP="00CE393B">
      <w:pPr>
        <w:pStyle w:val="ListParagraph"/>
        <w:ind w:left="709" w:hanging="425"/>
      </w:pPr>
      <w:r>
        <w:t>D</w:t>
      </w:r>
      <w:r w:rsidR="00831387">
        <w:t>atabase log shipping status</w:t>
      </w:r>
    </w:p>
    <w:p w14:paraId="6731C8E2" w14:textId="1599C267" w:rsidR="00831387" w:rsidRDefault="00831387" w:rsidP="00831387">
      <w:r>
        <w:t>Node4 reserves the right to amend these parameters and alter any associated thresholds alerts during the term of the contract.</w:t>
      </w:r>
    </w:p>
    <w:p w14:paraId="46C3A8F5" w14:textId="4314C1B3" w:rsidR="006C28B7" w:rsidRPr="00CE393B" w:rsidRDefault="006C28B7" w:rsidP="00CE393B">
      <w:pPr>
        <w:pStyle w:val="Heading3"/>
      </w:pPr>
      <w:r w:rsidRPr="00CE393B">
        <w:t>P</w:t>
      </w:r>
      <w:r w:rsidR="00011BF1" w:rsidRPr="00CE393B">
        <w:t>erformance</w:t>
      </w:r>
      <w:r w:rsidR="00FA6AC4">
        <w:t xml:space="preserve"> t</w:t>
      </w:r>
      <w:r w:rsidR="00011BF1" w:rsidRPr="00CE393B">
        <w:t>uning</w:t>
      </w:r>
      <w:r w:rsidRPr="00CE393B">
        <w:t xml:space="preserve"> </w:t>
      </w:r>
    </w:p>
    <w:p w14:paraId="31CC9D32" w14:textId="77777777" w:rsidR="00831387" w:rsidRDefault="00831387" w:rsidP="00831387">
      <w:r>
        <w:t>Performance Tuning is an extension of the Proactive Monitoring Service, which involves the deployment of performance health management checks.</w:t>
      </w:r>
    </w:p>
    <w:p w14:paraId="11B75B3D" w14:textId="0C2E385F" w:rsidR="00831387" w:rsidRDefault="00831387" w:rsidP="00831387">
      <w:r w:rsidRPr="003013B0">
        <w:t>Unless specified otherwise in a</w:t>
      </w:r>
      <w:r w:rsidR="002C2A91">
        <w:t>n</w:t>
      </w:r>
      <w:r w:rsidRPr="003013B0">
        <w:t xml:space="preserve"> Order</w:t>
      </w:r>
      <w:r>
        <w:t xml:space="preserve"> Form</w:t>
      </w:r>
      <w:r w:rsidRPr="003013B0">
        <w:t xml:space="preserve">, in order to provide </w:t>
      </w:r>
      <w:r>
        <w:t>the Performance Tuning s</w:t>
      </w:r>
      <w:r w:rsidRPr="003013B0">
        <w:t xml:space="preserve">ervice </w:t>
      </w:r>
      <w:r>
        <w:t>Node4 shall require</w:t>
      </w:r>
      <w:r w:rsidRPr="003013B0">
        <w:t xml:space="preserve"> </w:t>
      </w:r>
      <w:r>
        <w:t>access to install a Monitoring Agent on the Customer Supported Software and associated application servers.</w:t>
      </w:r>
    </w:p>
    <w:p w14:paraId="643543DD" w14:textId="14867B3F" w:rsidR="006C28B7" w:rsidRPr="00CE393B" w:rsidRDefault="006C28B7" w:rsidP="00CE393B">
      <w:pPr>
        <w:pStyle w:val="Heading3"/>
      </w:pPr>
      <w:r w:rsidRPr="00CE393B">
        <w:t>E</w:t>
      </w:r>
      <w:r w:rsidR="00011BF1" w:rsidRPr="00CE393B">
        <w:t>nhanced</w:t>
      </w:r>
      <w:r w:rsidR="00FA6AC4">
        <w:t xml:space="preserve"> p</w:t>
      </w:r>
      <w:r w:rsidR="00011BF1" w:rsidRPr="00CE393B">
        <w:t>atch</w:t>
      </w:r>
      <w:r w:rsidR="00FA6AC4">
        <w:t xml:space="preserve"> m</w:t>
      </w:r>
      <w:r w:rsidR="00011BF1" w:rsidRPr="00CE393B">
        <w:t>anagement</w:t>
      </w:r>
    </w:p>
    <w:p w14:paraId="7469C901" w14:textId="77777777" w:rsidR="00831387" w:rsidRDefault="00831387" w:rsidP="00831387">
      <w:r>
        <w:t>The Enhanced Patch Management Service provides a quarterly service to implement non critical software patches.</w:t>
      </w:r>
    </w:p>
    <w:p w14:paraId="1951201B" w14:textId="2114B533" w:rsidR="00831387" w:rsidRPr="00FA6AC4" w:rsidRDefault="00831387" w:rsidP="00831387">
      <w:pPr>
        <w:rPr>
          <w:rStyle w:val="IntenseEmphasis"/>
          <w:color w:val="F79220"/>
        </w:rPr>
      </w:pPr>
      <w:r w:rsidRPr="00FA6AC4">
        <w:rPr>
          <w:rStyle w:val="IntenseEmphasis"/>
          <w:color w:val="F79220"/>
        </w:rPr>
        <w:t>Node4 shall be responsible for:</w:t>
      </w:r>
    </w:p>
    <w:p w14:paraId="58495F48" w14:textId="2E1846CC" w:rsidR="00831387" w:rsidRPr="00595B74" w:rsidRDefault="00011BF1" w:rsidP="00CE393B">
      <w:pPr>
        <w:pStyle w:val="ListParagraph"/>
        <w:ind w:left="851" w:hanging="425"/>
      </w:pPr>
      <w:r w:rsidRPr="00595B74">
        <w:t>P</w:t>
      </w:r>
      <w:r w:rsidR="00831387" w:rsidRPr="00595B74">
        <w:t>roviding suitable engineering resources to me</w:t>
      </w:r>
      <w:r w:rsidR="00831387">
        <w:t>et the agreed Patching Schedule,</w:t>
      </w:r>
    </w:p>
    <w:p w14:paraId="11D94532" w14:textId="147CAA9F" w:rsidR="00831387" w:rsidRPr="00595B74" w:rsidRDefault="00011BF1" w:rsidP="00CE393B">
      <w:pPr>
        <w:pStyle w:val="ListParagraph"/>
        <w:ind w:left="851" w:hanging="425"/>
      </w:pPr>
      <w:r w:rsidRPr="00595B74">
        <w:t>I</w:t>
      </w:r>
      <w:r w:rsidR="00831387" w:rsidRPr="00595B74">
        <w:t>mplementing any requested patches and</w:t>
      </w:r>
    </w:p>
    <w:p w14:paraId="37DBD2C6" w14:textId="4C0F326A" w:rsidR="00C31225" w:rsidRDefault="00011BF1" w:rsidP="00C31225">
      <w:pPr>
        <w:pStyle w:val="ListParagraph"/>
        <w:ind w:left="851" w:hanging="425"/>
      </w:pPr>
      <w:r w:rsidRPr="00595B74">
        <w:t>S</w:t>
      </w:r>
      <w:r w:rsidR="00831387" w:rsidRPr="00595B74">
        <w:t>eeking the prior consent of the Customer before implementing any new patches.</w:t>
      </w:r>
    </w:p>
    <w:p w14:paraId="1F31784C" w14:textId="77777777" w:rsidR="00831387" w:rsidRPr="00FA6AC4" w:rsidRDefault="00831387" w:rsidP="00831387">
      <w:pPr>
        <w:rPr>
          <w:rStyle w:val="IntenseEmphasis"/>
          <w:color w:val="F79220"/>
        </w:rPr>
      </w:pPr>
      <w:r w:rsidRPr="00FA6AC4">
        <w:rPr>
          <w:rStyle w:val="IntenseEmphasis"/>
          <w:color w:val="F79220"/>
        </w:rPr>
        <w:t>The Customer shall be responsible for:</w:t>
      </w:r>
    </w:p>
    <w:p w14:paraId="47E0C796" w14:textId="7B095120" w:rsidR="00831387" w:rsidRPr="00595B74" w:rsidRDefault="00011BF1" w:rsidP="00CE393B">
      <w:pPr>
        <w:pStyle w:val="ListParagraph"/>
        <w:ind w:left="851" w:hanging="425"/>
      </w:pPr>
      <w:r w:rsidRPr="00595B74">
        <w:t>A</w:t>
      </w:r>
      <w:r w:rsidR="00831387" w:rsidRPr="00595B74">
        <w:t>greeing a Patch</w:t>
      </w:r>
      <w:r w:rsidR="00831387">
        <w:t>ing</w:t>
      </w:r>
      <w:r w:rsidR="00831387" w:rsidRPr="00595B74">
        <w:t xml:space="preserve"> Schedule including maintenance windows with </w:t>
      </w:r>
      <w:r w:rsidR="00831387">
        <w:t>Node4</w:t>
      </w:r>
      <w:r w:rsidR="00831387" w:rsidRPr="00595B74">
        <w:t>;</w:t>
      </w:r>
    </w:p>
    <w:p w14:paraId="1555A661" w14:textId="62C561B5" w:rsidR="00831387" w:rsidRPr="00562E69" w:rsidRDefault="00011BF1" w:rsidP="00CE393B">
      <w:pPr>
        <w:pStyle w:val="ListParagraph"/>
        <w:ind w:left="851" w:hanging="425"/>
      </w:pPr>
      <w:r w:rsidRPr="00562E69">
        <w:t>R</w:t>
      </w:r>
      <w:r w:rsidR="00831387" w:rsidRPr="00562E69">
        <w:t xml:space="preserve">aising any </w:t>
      </w:r>
      <w:r w:rsidR="00562E69" w:rsidRPr="00562E69">
        <w:rPr>
          <w:rFonts w:eastAsia="MS PGothic"/>
          <w:kern w:val="24"/>
        </w:rPr>
        <w:t>Customer Request Ticket</w:t>
      </w:r>
      <w:r w:rsidR="00562E69" w:rsidRPr="00562E69">
        <w:t xml:space="preserve"> </w:t>
      </w:r>
      <w:r w:rsidR="00831387" w:rsidRPr="00562E69">
        <w:t xml:space="preserve">for patching; </w:t>
      </w:r>
    </w:p>
    <w:p w14:paraId="11DC8566" w14:textId="357D3DFD" w:rsidR="00831387" w:rsidRPr="00595B74" w:rsidRDefault="00011BF1" w:rsidP="00CE393B">
      <w:pPr>
        <w:pStyle w:val="ListParagraph"/>
        <w:ind w:left="851" w:hanging="425"/>
      </w:pPr>
      <w:r>
        <w:t>P</w:t>
      </w:r>
      <w:r w:rsidR="00831387">
        <w:t xml:space="preserve">roviding </w:t>
      </w:r>
      <w:r w:rsidR="00831387" w:rsidRPr="00595B74">
        <w:t xml:space="preserve">a test </w:t>
      </w:r>
      <w:r w:rsidR="00831387">
        <w:t>environment deemed suitable by Node4</w:t>
      </w:r>
      <w:r w:rsidR="00831387" w:rsidRPr="00595B74">
        <w:t>; and</w:t>
      </w:r>
    </w:p>
    <w:p w14:paraId="3BF42824" w14:textId="02C6FAB7" w:rsidR="00C31225" w:rsidRDefault="00011BF1" w:rsidP="00C31225">
      <w:pPr>
        <w:pStyle w:val="ListParagraph"/>
        <w:ind w:left="851" w:hanging="425"/>
      </w:pPr>
      <w:r w:rsidRPr="00595B74">
        <w:t>P</w:t>
      </w:r>
      <w:r w:rsidR="00831387" w:rsidRPr="00595B74">
        <w:t>roviding its consent, not to be unreasonably withheld or delayed, to the impleme</w:t>
      </w:r>
      <w:r w:rsidR="00831387">
        <w:t>ntation of any new patches by Node4</w:t>
      </w:r>
      <w:r w:rsidR="00C31225">
        <w:t>.</w:t>
      </w:r>
    </w:p>
    <w:p w14:paraId="7A85AAC6" w14:textId="4111679F" w:rsidR="00831387" w:rsidRDefault="00831387" w:rsidP="00831387">
      <w:r>
        <w:t>Node4</w:t>
      </w:r>
      <w:r w:rsidRPr="00595B74">
        <w:t xml:space="preserve"> shall not be liable to the Customer (including, without limitation, to meet Service Level obligations) if the Customer fails to agree to Planned Outage windows or provide a </w:t>
      </w:r>
      <w:r>
        <w:t xml:space="preserve">suitable </w:t>
      </w:r>
      <w:r w:rsidRPr="00595B74">
        <w:t>test environment in accordance with the agreed Patching Schedule.</w:t>
      </w:r>
    </w:p>
    <w:p w14:paraId="53C11407" w14:textId="610A74CD" w:rsidR="005E5D65" w:rsidRPr="00CE393B" w:rsidRDefault="005E5D65" w:rsidP="00CE393B">
      <w:pPr>
        <w:pStyle w:val="Heading3"/>
      </w:pPr>
      <w:r w:rsidRPr="00CE393B">
        <w:t>B</w:t>
      </w:r>
      <w:r w:rsidR="00011BF1" w:rsidRPr="00CE393B">
        <w:t>ack</w:t>
      </w:r>
      <w:r w:rsidR="00FA6AC4">
        <w:t>-u</w:t>
      </w:r>
      <w:r w:rsidR="00011BF1" w:rsidRPr="00CE393B">
        <w:t>p</w:t>
      </w:r>
      <w:r w:rsidR="00FA6AC4">
        <w:t xml:space="preserve"> m</w:t>
      </w:r>
      <w:r w:rsidR="00011BF1" w:rsidRPr="00CE393B">
        <w:t>anagement</w:t>
      </w:r>
    </w:p>
    <w:p w14:paraId="076C3612" w14:textId="77777777" w:rsidR="00831387" w:rsidRDefault="00831387" w:rsidP="00831387">
      <w:r>
        <w:t>Backup Management</w:t>
      </w:r>
      <w:r w:rsidRPr="00176113">
        <w:t xml:space="preserve"> is an extension of the Proactive Monitoring Service, w</w:t>
      </w:r>
      <w:r>
        <w:t>hich involves the deployment of monitoring checks to monitor Events created by native database backups.</w:t>
      </w:r>
    </w:p>
    <w:p w14:paraId="5D62F939" w14:textId="74C7C797" w:rsidR="00831387" w:rsidRDefault="00831387" w:rsidP="00831387">
      <w:r w:rsidRPr="003013B0">
        <w:t>Unless specified otherwise in a</w:t>
      </w:r>
      <w:r w:rsidR="002C2A91">
        <w:t>n</w:t>
      </w:r>
      <w:r w:rsidRPr="003013B0">
        <w:t xml:space="preserve"> Order</w:t>
      </w:r>
      <w:r>
        <w:t xml:space="preserve"> Form</w:t>
      </w:r>
      <w:r w:rsidRPr="003013B0">
        <w:t xml:space="preserve">, </w:t>
      </w:r>
      <w:r>
        <w:t>Node4 will not provide a Backup Management Service for any backup software that is stated as</w:t>
      </w:r>
      <w:r w:rsidRPr="00B3789B">
        <w:t xml:space="preserve"> </w:t>
      </w:r>
      <w:r>
        <w:t xml:space="preserve">Supported Software on the </w:t>
      </w:r>
      <w:r w:rsidR="00F735FF">
        <w:t>Order Form</w:t>
      </w:r>
      <w:r>
        <w:t xml:space="preserve"> and isn’t included by the database software vendor as a native backup technology. </w:t>
      </w:r>
    </w:p>
    <w:p w14:paraId="2F40F01B" w14:textId="0D60C333" w:rsidR="005E5D65" w:rsidRPr="00CE393B" w:rsidRDefault="005E5D65" w:rsidP="00CE393B">
      <w:pPr>
        <w:pStyle w:val="Heading3"/>
      </w:pPr>
      <w:r w:rsidRPr="00CE393B">
        <w:t>D</w:t>
      </w:r>
      <w:r w:rsidR="00011BF1" w:rsidRPr="00CE393B">
        <w:t>isaster</w:t>
      </w:r>
      <w:r w:rsidR="00FA6AC4">
        <w:t xml:space="preserve"> r</w:t>
      </w:r>
      <w:r w:rsidR="00011BF1" w:rsidRPr="00CE393B">
        <w:t>ecovery</w:t>
      </w:r>
      <w:r w:rsidR="00FA6AC4">
        <w:t xml:space="preserve"> t</w:t>
      </w:r>
      <w:r w:rsidR="00011BF1" w:rsidRPr="00CE393B">
        <w:t>est</w:t>
      </w:r>
      <w:r w:rsidR="00FA6AC4">
        <w:t xml:space="preserve"> s</w:t>
      </w:r>
      <w:r w:rsidR="00011BF1" w:rsidRPr="00CE393B">
        <w:t>upport</w:t>
      </w:r>
    </w:p>
    <w:p w14:paraId="289E527B" w14:textId="6D78E8FB" w:rsidR="00831387" w:rsidRDefault="00F735FF" w:rsidP="00831387">
      <w:r>
        <w:t>Node4</w:t>
      </w:r>
      <w:r w:rsidR="00831387">
        <w:t xml:space="preserve"> shall provide up to two Consulting Days per annum to support a customer disaster recovery test. The scope of the work shall be governed by </w:t>
      </w:r>
      <w:r>
        <w:t xml:space="preserve">Consultancy Services Service </w:t>
      </w:r>
      <w:r w:rsidR="00831387">
        <w:t>schedule.</w:t>
      </w:r>
    </w:p>
    <w:p w14:paraId="528EDCD8" w14:textId="2A2D9D1A" w:rsidR="005E5D65" w:rsidRPr="00CE393B" w:rsidRDefault="005E5D65" w:rsidP="00CE393B">
      <w:pPr>
        <w:pStyle w:val="Heading3"/>
      </w:pPr>
      <w:r w:rsidRPr="00CE393B">
        <w:t>O</w:t>
      </w:r>
      <w:r w:rsidR="00011BF1" w:rsidRPr="00CE393B">
        <w:t xml:space="preserve">ut of </w:t>
      </w:r>
      <w:r w:rsidR="00FA6AC4">
        <w:t>s</w:t>
      </w:r>
      <w:r w:rsidR="00011BF1" w:rsidRPr="00CE393B">
        <w:t>cope</w:t>
      </w:r>
    </w:p>
    <w:p w14:paraId="51BB28F7" w14:textId="77777777" w:rsidR="00F55FB9" w:rsidRPr="002E39D7" w:rsidRDefault="00F55FB9" w:rsidP="00F55FB9">
      <w:r w:rsidRPr="00F55FB9">
        <w:t>The following areas are</w:t>
      </w:r>
      <w:r w:rsidRPr="002E39D7">
        <w:t xml:space="preserve"> deemed to be outside of the scope of this Schedule:</w:t>
      </w:r>
    </w:p>
    <w:p w14:paraId="141F6F04" w14:textId="5D8D621F" w:rsidR="00F55FB9" w:rsidRDefault="00011BF1" w:rsidP="00CE393B">
      <w:pPr>
        <w:pStyle w:val="ListParagraph"/>
      </w:pPr>
      <w:r>
        <w:lastRenderedPageBreak/>
        <w:t>S</w:t>
      </w:r>
      <w:r w:rsidR="00F55FB9">
        <w:t>ecurity policy;</w:t>
      </w:r>
    </w:p>
    <w:p w14:paraId="14F2AA6C" w14:textId="2CE25AF9" w:rsidR="00F55FB9" w:rsidRPr="00595B74" w:rsidRDefault="00011BF1" w:rsidP="00CE393B">
      <w:pPr>
        <w:pStyle w:val="ListParagraph"/>
      </w:pPr>
      <w:r>
        <w:t>A</w:t>
      </w:r>
      <w:r w:rsidR="00F55FB9">
        <w:t>pplication support;</w:t>
      </w:r>
    </w:p>
    <w:p w14:paraId="3C80AD07" w14:textId="3711B780" w:rsidR="00F55FB9" w:rsidRPr="00595B74" w:rsidRDefault="00011BF1" w:rsidP="00CE393B">
      <w:pPr>
        <w:pStyle w:val="ListParagraph"/>
      </w:pPr>
      <w:r w:rsidRPr="00595B74">
        <w:t>T</w:t>
      </w:r>
      <w:r w:rsidR="00F55FB9" w:rsidRPr="00595B74">
        <w:t>raining; and</w:t>
      </w:r>
    </w:p>
    <w:p w14:paraId="731A15B9" w14:textId="697FC622" w:rsidR="00C31225" w:rsidRDefault="00011BF1" w:rsidP="00C31225">
      <w:pPr>
        <w:pStyle w:val="ListParagraph"/>
      </w:pPr>
      <w:r w:rsidRPr="00595B74">
        <w:t>M</w:t>
      </w:r>
      <w:r w:rsidR="00F55FB9" w:rsidRPr="00595B74">
        <w:t>ajor system upgrades.</w:t>
      </w:r>
    </w:p>
    <w:p w14:paraId="4D00E2E3" w14:textId="66879EDA" w:rsidR="00625039" w:rsidRPr="00CE393B" w:rsidRDefault="005E5D65" w:rsidP="00CE393B">
      <w:pPr>
        <w:pStyle w:val="Heading2"/>
      </w:pPr>
      <w:r w:rsidRPr="00CE393B">
        <w:t>S</w:t>
      </w:r>
      <w:r w:rsidR="00011BF1" w:rsidRPr="00CE393B">
        <w:t>ervice</w:t>
      </w:r>
      <w:r w:rsidR="00FA6AC4">
        <w:t xml:space="preserve"> s</w:t>
      </w:r>
      <w:r w:rsidR="00011BF1" w:rsidRPr="00CE393B">
        <w:t>upport</w:t>
      </w:r>
    </w:p>
    <w:p w14:paraId="2EE8AAFE" w14:textId="77777777" w:rsidR="00DC349E" w:rsidRPr="00595B74" w:rsidRDefault="00DC349E" w:rsidP="00DC349E">
      <w:r w:rsidRPr="00595B74">
        <w:t>For Supported Software as part of the Services, th</w:t>
      </w:r>
      <w:r>
        <w:t>e Customer can choose from two</w:t>
      </w:r>
      <w:r w:rsidRPr="00595B74">
        <w:t xml:space="preserve"> levels of support, namely:</w:t>
      </w:r>
    </w:p>
    <w:p w14:paraId="2EF4A346" w14:textId="77777777" w:rsidR="00DC349E" w:rsidRDefault="00DC349E" w:rsidP="00CE393B">
      <w:pPr>
        <w:pStyle w:val="ListParagraph"/>
        <w:numPr>
          <w:ilvl w:val="0"/>
          <w:numId w:val="16"/>
        </w:numPr>
      </w:pPr>
      <w:r w:rsidRPr="00595B74">
        <w:t>Access Knowledge</w:t>
      </w:r>
      <w:r>
        <w:t xml:space="preserve"> and </w:t>
      </w:r>
    </w:p>
    <w:p w14:paraId="65E0FFE2" w14:textId="77357846" w:rsidR="00C31225" w:rsidRDefault="00DC349E" w:rsidP="00C31225">
      <w:pPr>
        <w:pStyle w:val="ListParagraph"/>
        <w:numPr>
          <w:ilvl w:val="0"/>
          <w:numId w:val="16"/>
        </w:numPr>
      </w:pPr>
      <w:r w:rsidRPr="00595B74">
        <w:t>Managed</w:t>
      </w:r>
      <w:r>
        <w:t>.</w:t>
      </w:r>
    </w:p>
    <w:p w14:paraId="395DC692" w14:textId="77777777" w:rsidR="00DC349E" w:rsidRDefault="00DC349E" w:rsidP="00DC349E">
      <w:r>
        <w:t>The Customer can then add the following additional Service options:</w:t>
      </w:r>
    </w:p>
    <w:p w14:paraId="5D979ED6" w14:textId="77777777" w:rsidR="00DC349E" w:rsidRDefault="00DC349E" w:rsidP="00CE393B">
      <w:pPr>
        <w:pStyle w:val="ListParagraph"/>
        <w:numPr>
          <w:ilvl w:val="0"/>
          <w:numId w:val="17"/>
        </w:numPr>
      </w:pPr>
      <w:r>
        <w:t xml:space="preserve">Enhanced Patch Management; </w:t>
      </w:r>
    </w:p>
    <w:p w14:paraId="1CB562BE" w14:textId="77777777" w:rsidR="00DC349E" w:rsidRDefault="00DC349E" w:rsidP="00CE393B">
      <w:pPr>
        <w:pStyle w:val="ListParagraph"/>
        <w:numPr>
          <w:ilvl w:val="0"/>
          <w:numId w:val="17"/>
        </w:numPr>
      </w:pPr>
      <w:r>
        <w:t>Disaster Recovery Test Support and</w:t>
      </w:r>
    </w:p>
    <w:p w14:paraId="39AF3E71" w14:textId="4E5E1614" w:rsidR="00C31225" w:rsidRDefault="00DC349E" w:rsidP="00C31225">
      <w:pPr>
        <w:pStyle w:val="ListParagraph"/>
        <w:numPr>
          <w:ilvl w:val="0"/>
          <w:numId w:val="17"/>
        </w:numPr>
      </w:pPr>
      <w:r>
        <w:t>Consulting Services.</w:t>
      </w:r>
    </w:p>
    <w:p w14:paraId="3A86FA18" w14:textId="56FFD92B" w:rsidR="00DC349E" w:rsidRDefault="00DC349E" w:rsidP="00DC349E">
      <w:r w:rsidRPr="00595B74">
        <w:t xml:space="preserve">The Support Level chosen by the Customer shall be stated in </w:t>
      </w:r>
      <w:r>
        <w:t xml:space="preserve">the </w:t>
      </w:r>
      <w:r w:rsidRPr="00595B74">
        <w:t>Order</w:t>
      </w:r>
      <w:r>
        <w:t xml:space="preserve"> Form</w:t>
      </w:r>
      <w:r w:rsidRPr="00595B74">
        <w:t>.</w:t>
      </w:r>
    </w:p>
    <w:p w14:paraId="303B2AF4" w14:textId="528473D3" w:rsidR="005E5D65" w:rsidRPr="00CE393B" w:rsidRDefault="005E5D65" w:rsidP="00CE393B">
      <w:pPr>
        <w:pStyle w:val="Heading3"/>
      </w:pPr>
      <w:r w:rsidRPr="00CE393B">
        <w:t>S</w:t>
      </w:r>
      <w:r w:rsidR="00011BF1" w:rsidRPr="00CE393B">
        <w:t>ervice</w:t>
      </w:r>
      <w:r w:rsidR="00FA6AC4">
        <w:t xml:space="preserve"> h</w:t>
      </w:r>
      <w:r w:rsidR="00011BF1" w:rsidRPr="00CE393B">
        <w:t>ours</w:t>
      </w:r>
    </w:p>
    <w:p w14:paraId="21DA0D50" w14:textId="77777777" w:rsidR="008751BE" w:rsidRPr="00595B74" w:rsidRDefault="008751BE" w:rsidP="008751BE">
      <w:r w:rsidRPr="00595B74">
        <w:t>For Supported Software as part of the Services, th</w:t>
      </w:r>
      <w:r>
        <w:t>e Customer can choose from two levels of service hours</w:t>
      </w:r>
      <w:r w:rsidRPr="00595B74">
        <w:t>, namely:</w:t>
      </w:r>
    </w:p>
    <w:p w14:paraId="453D68A4" w14:textId="21CEB508" w:rsidR="008751BE" w:rsidRPr="001905BE" w:rsidRDefault="00D33E41" w:rsidP="00CE393B">
      <w:pPr>
        <w:pStyle w:val="ListParagraph"/>
        <w:numPr>
          <w:ilvl w:val="0"/>
          <w:numId w:val="24"/>
        </w:numPr>
      </w:pPr>
      <w:r>
        <w:t>Business</w:t>
      </w:r>
      <w:r w:rsidRPr="001905BE">
        <w:t xml:space="preserve"> </w:t>
      </w:r>
      <w:r w:rsidR="008751BE" w:rsidRPr="001905BE">
        <w:t>Day; means 9.00 am to 5.00 pm on any day from Monday to Friday (inclusive) which is not Christmas Day, Good Friday or other statutory or national holiday in the United Kingdom</w:t>
      </w:r>
    </w:p>
    <w:p w14:paraId="7AEC13CD" w14:textId="2EF74451" w:rsidR="00DA5641" w:rsidRDefault="008751BE" w:rsidP="00CE393B">
      <w:pPr>
        <w:pStyle w:val="ListParagraph"/>
        <w:numPr>
          <w:ilvl w:val="0"/>
          <w:numId w:val="24"/>
        </w:numPr>
      </w:pPr>
      <w:r w:rsidRPr="001905BE">
        <w:t xml:space="preserve">24x7; means </w:t>
      </w:r>
      <w:r w:rsidR="00D33E41">
        <w:t>Business</w:t>
      </w:r>
      <w:r w:rsidR="00D33E41" w:rsidRPr="001905BE">
        <w:t xml:space="preserve"> </w:t>
      </w:r>
      <w:r w:rsidRPr="001905BE">
        <w:t>Day plus the ability to raise Severity Leve</w:t>
      </w:r>
      <w:r w:rsidR="00CE537D">
        <w:t xml:space="preserve">l 1 Trouble Tickets outside of </w:t>
      </w:r>
      <w:r w:rsidR="00D33E41">
        <w:t>Business Hours</w:t>
      </w:r>
      <w:r w:rsidRPr="001905BE">
        <w:t>.</w:t>
      </w:r>
      <w:bookmarkStart w:id="2" w:name="_Ref378934603"/>
    </w:p>
    <w:p w14:paraId="648F7DC1" w14:textId="2129A29A" w:rsidR="005E5D65" w:rsidRPr="00CE393B" w:rsidRDefault="00504EA7" w:rsidP="00CE393B">
      <w:pPr>
        <w:pStyle w:val="Heading3"/>
      </w:pPr>
      <w:r w:rsidRPr="00CE393B">
        <w:t>I</w:t>
      </w:r>
      <w:r w:rsidR="00011BF1" w:rsidRPr="00CE393B">
        <w:t>ncident</w:t>
      </w:r>
      <w:r w:rsidRPr="00CE393B">
        <w:t xml:space="preserve"> </w:t>
      </w:r>
      <w:r w:rsidR="00011BF1" w:rsidRPr="00CE393B">
        <w:t>and</w:t>
      </w:r>
      <w:r w:rsidR="00FA6AC4">
        <w:t xml:space="preserve"> e</w:t>
      </w:r>
      <w:r w:rsidR="00011BF1" w:rsidRPr="00CE393B">
        <w:t>vent</w:t>
      </w:r>
      <w:r w:rsidR="00FA6AC4">
        <w:t xml:space="preserve"> m</w:t>
      </w:r>
      <w:r w:rsidR="00011BF1" w:rsidRPr="00CE393B">
        <w:t>anagement</w:t>
      </w:r>
    </w:p>
    <w:p w14:paraId="1EB7748D" w14:textId="72F30E3A" w:rsidR="00011BF1" w:rsidRDefault="00DA5641" w:rsidP="00DA5641">
      <w:r w:rsidRPr="003262E3">
        <w:t xml:space="preserve">Incident &amp; Event Management helps provide solutions to </w:t>
      </w:r>
      <w:r w:rsidR="002C2A91">
        <w:t>Trouble</w:t>
      </w:r>
      <w:r w:rsidR="002C2A91" w:rsidRPr="003262E3">
        <w:t xml:space="preserve"> </w:t>
      </w:r>
      <w:r w:rsidRPr="003262E3">
        <w:t xml:space="preserve">Tickets. </w:t>
      </w:r>
      <w:bookmarkStart w:id="3" w:name="_Ref372294194"/>
      <w:r w:rsidRPr="003262E3">
        <w:t>Depending on the impact an Event or Incident has on the Se</w:t>
      </w:r>
      <w:r>
        <w:t>rvice, each Event or Incident will be categoris</w:t>
      </w:r>
      <w:r w:rsidRPr="003262E3">
        <w:t>ed</w:t>
      </w:r>
      <w:r>
        <w:t xml:space="preserve"> by Node4</w:t>
      </w:r>
      <w:r w:rsidRPr="003262E3">
        <w:t xml:space="preserve"> into one of </w:t>
      </w:r>
      <w:bookmarkEnd w:id="3"/>
      <w:r>
        <w:t>the Severity Levels as set out in the table below:</w:t>
      </w:r>
    </w:p>
    <w:p w14:paraId="7E0DE632" w14:textId="77777777" w:rsidR="00C31225" w:rsidRDefault="00C31225" w:rsidP="00DA5641"/>
    <w:p w14:paraId="7644F642" w14:textId="77777777" w:rsidR="00C31225" w:rsidRDefault="00C31225" w:rsidP="00DA5641"/>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86"/>
        <w:gridCol w:w="3813"/>
      </w:tblGrid>
      <w:tr w:rsidR="00011BF1" w:rsidRPr="00BC665D" w14:paraId="0C2BBB3E" w14:textId="77777777" w:rsidTr="00011BF1">
        <w:trPr>
          <w:trHeight w:val="631"/>
          <w:tblCellSpacing w:w="20" w:type="dxa"/>
        </w:trPr>
        <w:tc>
          <w:tcPr>
            <w:tcW w:w="912" w:type="dxa"/>
            <w:shd w:val="clear" w:color="auto" w:fill="000000" w:themeFill="text1"/>
            <w:vAlign w:val="bottom"/>
          </w:tcPr>
          <w:p w14:paraId="1821835F" w14:textId="53C5F408" w:rsidR="00011BF1" w:rsidRPr="00713767" w:rsidRDefault="00CE537D" w:rsidP="00CE537D">
            <w:pPr>
              <w:jc w:val="center"/>
              <w:rPr>
                <w:rFonts w:cs="Arial"/>
                <w:b/>
                <w:color w:val="FFFFFF"/>
                <w:sz w:val="14"/>
                <w:szCs w:val="16"/>
              </w:rPr>
            </w:pPr>
            <w:r>
              <w:rPr>
                <w:rFonts w:cs="Arial"/>
                <w:b/>
                <w:color w:val="FFFFFF"/>
                <w:sz w:val="14"/>
                <w:szCs w:val="16"/>
              </w:rPr>
              <w:t>Severity Level</w:t>
            </w:r>
          </w:p>
        </w:tc>
        <w:tc>
          <w:tcPr>
            <w:tcW w:w="3767" w:type="dxa"/>
            <w:shd w:val="clear" w:color="auto" w:fill="000000" w:themeFill="text1"/>
            <w:vAlign w:val="center"/>
          </w:tcPr>
          <w:p w14:paraId="58B9893C" w14:textId="3DC3848D" w:rsidR="00011BF1" w:rsidRPr="00713767" w:rsidRDefault="00CE537D" w:rsidP="00AD2F36">
            <w:pPr>
              <w:jc w:val="center"/>
              <w:rPr>
                <w:rFonts w:cs="Arial"/>
                <w:b/>
                <w:color w:val="FFFFFF"/>
                <w:sz w:val="14"/>
                <w:szCs w:val="16"/>
              </w:rPr>
            </w:pPr>
            <w:r>
              <w:rPr>
                <w:rFonts w:cs="Arial"/>
                <w:b/>
                <w:color w:val="FFFFFF"/>
                <w:sz w:val="14"/>
                <w:szCs w:val="16"/>
              </w:rPr>
              <w:t>Description</w:t>
            </w:r>
          </w:p>
        </w:tc>
      </w:tr>
      <w:tr w:rsidR="00011BF1" w:rsidRPr="00BC665D" w14:paraId="312696DB" w14:textId="77777777" w:rsidTr="00011BF1">
        <w:trPr>
          <w:tblCellSpacing w:w="20" w:type="dxa"/>
        </w:trPr>
        <w:tc>
          <w:tcPr>
            <w:tcW w:w="912" w:type="dxa"/>
            <w:shd w:val="clear" w:color="auto" w:fill="A6A6A6" w:themeFill="background1" w:themeFillShade="A6"/>
          </w:tcPr>
          <w:p w14:paraId="12148B52" w14:textId="40650710" w:rsidR="00011BF1" w:rsidRPr="00713767" w:rsidRDefault="00011BF1" w:rsidP="00CE537D">
            <w:pPr>
              <w:jc w:val="left"/>
              <w:rPr>
                <w:rFonts w:cs="Arial"/>
                <w:b/>
                <w:sz w:val="14"/>
                <w:szCs w:val="16"/>
              </w:rPr>
            </w:pPr>
            <w:r w:rsidRPr="00011BF1">
              <w:rPr>
                <w:rFonts w:cs="Arial"/>
                <w:b/>
                <w:sz w:val="14"/>
                <w:szCs w:val="16"/>
              </w:rPr>
              <w:t>Level 1 (Critical)</w:t>
            </w:r>
          </w:p>
        </w:tc>
        <w:tc>
          <w:tcPr>
            <w:tcW w:w="3767" w:type="dxa"/>
            <w:shd w:val="clear" w:color="auto" w:fill="A6A6A6" w:themeFill="background1" w:themeFillShade="A6"/>
          </w:tcPr>
          <w:p w14:paraId="02E72522" w14:textId="77777777" w:rsidR="00011BF1" w:rsidRPr="00011BF1" w:rsidRDefault="00011BF1" w:rsidP="00CE537D">
            <w:pPr>
              <w:jc w:val="left"/>
              <w:rPr>
                <w:rFonts w:cs="Arial"/>
                <w:sz w:val="14"/>
                <w:szCs w:val="16"/>
              </w:rPr>
            </w:pPr>
            <w:r w:rsidRPr="00011BF1">
              <w:rPr>
                <w:rFonts w:cs="Arial"/>
                <w:sz w:val="14"/>
                <w:szCs w:val="16"/>
              </w:rPr>
              <w:t xml:space="preserve">Supported Software inaccessible. </w:t>
            </w:r>
          </w:p>
          <w:p w14:paraId="3931906C" w14:textId="788841D8" w:rsidR="00011BF1" w:rsidRPr="00713767" w:rsidRDefault="00011BF1" w:rsidP="00CE537D">
            <w:pPr>
              <w:jc w:val="left"/>
              <w:rPr>
                <w:rFonts w:cs="Arial"/>
                <w:sz w:val="14"/>
                <w:szCs w:val="16"/>
              </w:rPr>
            </w:pPr>
            <w:r w:rsidRPr="00011BF1">
              <w:rPr>
                <w:rFonts w:cs="Arial"/>
                <w:sz w:val="14"/>
                <w:szCs w:val="16"/>
              </w:rPr>
              <w:t>There is a critical need and a total inability to deliver or use a required business function of a Service.</w:t>
            </w:r>
          </w:p>
        </w:tc>
      </w:tr>
      <w:tr w:rsidR="00011BF1" w:rsidRPr="00BC665D" w14:paraId="35D10F73" w14:textId="77777777" w:rsidTr="00011BF1">
        <w:trPr>
          <w:tblCellSpacing w:w="20" w:type="dxa"/>
        </w:trPr>
        <w:tc>
          <w:tcPr>
            <w:tcW w:w="912" w:type="dxa"/>
          </w:tcPr>
          <w:p w14:paraId="3C3C6C79" w14:textId="79A3D3BB" w:rsidR="00011BF1" w:rsidRPr="00713767" w:rsidRDefault="00011BF1" w:rsidP="00CE537D">
            <w:pPr>
              <w:jc w:val="left"/>
              <w:rPr>
                <w:rFonts w:cs="Arial"/>
                <w:b/>
                <w:sz w:val="14"/>
                <w:szCs w:val="16"/>
              </w:rPr>
            </w:pPr>
            <w:r w:rsidRPr="00011BF1">
              <w:rPr>
                <w:rFonts w:cs="Arial"/>
                <w:b/>
                <w:sz w:val="14"/>
                <w:szCs w:val="16"/>
              </w:rPr>
              <w:t>Level 2 (Major)</w:t>
            </w:r>
          </w:p>
        </w:tc>
        <w:tc>
          <w:tcPr>
            <w:tcW w:w="3767" w:type="dxa"/>
          </w:tcPr>
          <w:p w14:paraId="27F07AB2" w14:textId="77777777" w:rsidR="00011BF1" w:rsidRPr="00011BF1" w:rsidRDefault="00011BF1" w:rsidP="00CE537D">
            <w:pPr>
              <w:jc w:val="left"/>
              <w:rPr>
                <w:rFonts w:cs="Arial"/>
                <w:sz w:val="14"/>
                <w:szCs w:val="16"/>
              </w:rPr>
            </w:pPr>
            <w:r w:rsidRPr="00011BF1">
              <w:rPr>
                <w:rFonts w:cs="Arial"/>
                <w:sz w:val="14"/>
                <w:szCs w:val="16"/>
              </w:rPr>
              <w:t>Supported Software component degraded.</w:t>
            </w:r>
          </w:p>
          <w:p w14:paraId="4F9FD774" w14:textId="77777777" w:rsidR="00011BF1" w:rsidRPr="00011BF1" w:rsidRDefault="00011BF1" w:rsidP="00CE537D">
            <w:pPr>
              <w:jc w:val="left"/>
              <w:rPr>
                <w:rFonts w:cs="Arial"/>
                <w:sz w:val="14"/>
                <w:szCs w:val="16"/>
              </w:rPr>
            </w:pPr>
            <w:r w:rsidRPr="00011BF1">
              <w:rPr>
                <w:rFonts w:cs="Arial"/>
                <w:sz w:val="14"/>
                <w:szCs w:val="16"/>
              </w:rPr>
              <w:t>A database, system, component or application is not available but a temporary fix may be available.</w:t>
            </w:r>
          </w:p>
          <w:p w14:paraId="751A3DCA" w14:textId="42196059" w:rsidR="00011BF1" w:rsidRPr="00713767" w:rsidRDefault="00011BF1" w:rsidP="00CE537D">
            <w:pPr>
              <w:jc w:val="left"/>
              <w:rPr>
                <w:rFonts w:cs="Arial"/>
                <w:sz w:val="14"/>
                <w:szCs w:val="16"/>
              </w:rPr>
            </w:pPr>
            <w:r w:rsidRPr="00011BF1">
              <w:rPr>
                <w:rFonts w:cs="Arial"/>
                <w:sz w:val="14"/>
                <w:szCs w:val="16"/>
              </w:rPr>
              <w:t>Where there is not a critical need to resolve but there is an impact to the delivery or use of the Service.</w:t>
            </w:r>
          </w:p>
        </w:tc>
      </w:tr>
      <w:tr w:rsidR="00011BF1" w:rsidRPr="00BC665D" w14:paraId="7971F642" w14:textId="77777777" w:rsidTr="00011BF1">
        <w:trPr>
          <w:tblCellSpacing w:w="20" w:type="dxa"/>
        </w:trPr>
        <w:tc>
          <w:tcPr>
            <w:tcW w:w="912" w:type="dxa"/>
            <w:shd w:val="clear" w:color="auto" w:fill="A6A6A6" w:themeFill="background1" w:themeFillShade="A6"/>
          </w:tcPr>
          <w:p w14:paraId="304A828C" w14:textId="62A8738C" w:rsidR="00011BF1" w:rsidRPr="00713767" w:rsidRDefault="00011BF1" w:rsidP="00CE537D">
            <w:pPr>
              <w:jc w:val="left"/>
              <w:rPr>
                <w:rFonts w:cs="Arial"/>
                <w:b/>
                <w:sz w:val="14"/>
                <w:szCs w:val="16"/>
              </w:rPr>
            </w:pPr>
            <w:r w:rsidRPr="00011BF1">
              <w:rPr>
                <w:rFonts w:cs="Arial"/>
                <w:b/>
                <w:sz w:val="14"/>
                <w:szCs w:val="16"/>
              </w:rPr>
              <w:t>Level 3 (Standard)</w:t>
            </w:r>
          </w:p>
        </w:tc>
        <w:tc>
          <w:tcPr>
            <w:tcW w:w="3767" w:type="dxa"/>
            <w:shd w:val="clear" w:color="auto" w:fill="A6A6A6" w:themeFill="background1" w:themeFillShade="A6"/>
          </w:tcPr>
          <w:p w14:paraId="357F118C" w14:textId="176C6EE3" w:rsidR="00011BF1" w:rsidRPr="00713767" w:rsidRDefault="00011BF1" w:rsidP="00CE537D">
            <w:pPr>
              <w:jc w:val="left"/>
              <w:rPr>
                <w:rFonts w:cs="Arial"/>
                <w:sz w:val="14"/>
                <w:szCs w:val="16"/>
              </w:rPr>
            </w:pPr>
            <w:r w:rsidRPr="00011BF1">
              <w:rPr>
                <w:rFonts w:cs="Arial"/>
                <w:sz w:val="14"/>
                <w:szCs w:val="16"/>
              </w:rPr>
              <w:t>Where there is not a critical need and no impact to the delivery or use of the Service.</w:t>
            </w:r>
          </w:p>
        </w:tc>
      </w:tr>
    </w:tbl>
    <w:p w14:paraId="3D03ABAE" w14:textId="59B71A67" w:rsidR="00DA5641" w:rsidRDefault="00DA5641" w:rsidP="00DA5641"/>
    <w:p w14:paraId="6B0EFFAF" w14:textId="270720D3" w:rsidR="00DA5641" w:rsidRDefault="00DA5641" w:rsidP="00DA5641">
      <w:r>
        <w:t>If the customer has a Level 1 or Level 2 issue which requires Patch Management as a remedial action, this will be covered under the Incident &amp; Event management Service. Customers with a Level 3 issue will require the Enhanced Patch Management or Consulting Service.</w:t>
      </w:r>
    </w:p>
    <w:p w14:paraId="6D8E5B9E" w14:textId="510829E3" w:rsidR="00DA5641" w:rsidRPr="00CE393B" w:rsidRDefault="00504EA7" w:rsidP="00CE393B">
      <w:pPr>
        <w:pStyle w:val="Heading3"/>
      </w:pPr>
      <w:r w:rsidRPr="00CE393B">
        <w:t>C</w:t>
      </w:r>
      <w:r w:rsidR="00CE537D" w:rsidRPr="00CE393B">
        <w:t xml:space="preserve">ustomer </w:t>
      </w:r>
      <w:r w:rsidR="00FA6AC4">
        <w:t>r</w:t>
      </w:r>
      <w:r w:rsidR="00CE537D" w:rsidRPr="00CE393B">
        <w:t>equest</w:t>
      </w:r>
      <w:r w:rsidR="00FA6AC4">
        <w:t xml:space="preserve"> f</w:t>
      </w:r>
      <w:r w:rsidR="00CE537D" w:rsidRPr="00CE393B">
        <w:t>ulfilment</w:t>
      </w:r>
    </w:p>
    <w:p w14:paraId="4596D56F" w14:textId="79FD91C3" w:rsidR="00DA5641" w:rsidRDefault="00DA5641" w:rsidP="00DA5641">
      <w:r w:rsidRPr="00224DBC">
        <w:t>Cust</w:t>
      </w:r>
      <w:r w:rsidRPr="00562E69">
        <w:t xml:space="preserve">omer is entitled to raise </w:t>
      </w:r>
      <w:r w:rsidR="00562E69" w:rsidRPr="00562E69">
        <w:rPr>
          <w:rFonts w:eastAsia="MS PGothic"/>
          <w:kern w:val="24"/>
        </w:rPr>
        <w:t>Customer Request Ticket</w:t>
      </w:r>
      <w:r w:rsidR="002C2A91">
        <w:rPr>
          <w:rFonts w:eastAsia="MS PGothic"/>
          <w:kern w:val="24"/>
        </w:rPr>
        <w:t>s</w:t>
      </w:r>
      <w:r w:rsidR="00562E69" w:rsidRPr="00562E69">
        <w:t xml:space="preserve"> </w:t>
      </w:r>
      <w:r w:rsidRPr="00562E69">
        <w:t xml:space="preserve">for Customer Request Fulfilment as part of the Services. There are two types of </w:t>
      </w:r>
      <w:r w:rsidR="00562E69" w:rsidRPr="00562E69">
        <w:rPr>
          <w:rFonts w:eastAsia="MS PGothic"/>
          <w:kern w:val="24"/>
        </w:rPr>
        <w:t>Customer Request Ticket</w:t>
      </w:r>
      <w:r w:rsidR="00562E69" w:rsidRPr="00562E69">
        <w:t xml:space="preserve"> </w:t>
      </w:r>
      <w:r w:rsidRPr="00562E69">
        <w:t xml:space="preserve">as set out </w:t>
      </w:r>
      <w:r>
        <w:t>in the table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86"/>
        <w:gridCol w:w="3813"/>
      </w:tblGrid>
      <w:tr w:rsidR="00CE537D" w:rsidRPr="00BC665D" w14:paraId="61048F26" w14:textId="77777777" w:rsidTr="00CE537D">
        <w:trPr>
          <w:trHeight w:val="631"/>
          <w:tblCellSpacing w:w="20" w:type="dxa"/>
        </w:trPr>
        <w:tc>
          <w:tcPr>
            <w:tcW w:w="926" w:type="dxa"/>
            <w:shd w:val="clear" w:color="auto" w:fill="000000" w:themeFill="text1"/>
            <w:vAlign w:val="bottom"/>
          </w:tcPr>
          <w:p w14:paraId="44E4F6D9" w14:textId="77777777" w:rsidR="00CE537D" w:rsidRPr="00713767" w:rsidRDefault="00CE537D" w:rsidP="00AD2F36">
            <w:pPr>
              <w:jc w:val="center"/>
              <w:rPr>
                <w:rFonts w:cs="Arial"/>
                <w:b/>
                <w:color w:val="FFFFFF"/>
                <w:sz w:val="14"/>
                <w:szCs w:val="16"/>
              </w:rPr>
            </w:pPr>
            <w:r>
              <w:rPr>
                <w:rFonts w:cs="Arial"/>
                <w:b/>
                <w:color w:val="FFFFFF"/>
                <w:sz w:val="14"/>
                <w:szCs w:val="16"/>
              </w:rPr>
              <w:t>Severity Level</w:t>
            </w:r>
          </w:p>
        </w:tc>
        <w:tc>
          <w:tcPr>
            <w:tcW w:w="3753" w:type="dxa"/>
            <w:shd w:val="clear" w:color="auto" w:fill="000000" w:themeFill="text1"/>
            <w:vAlign w:val="center"/>
          </w:tcPr>
          <w:p w14:paraId="1EDEB64E" w14:textId="77777777" w:rsidR="00CE537D" w:rsidRPr="00713767" w:rsidRDefault="00CE537D" w:rsidP="00AD2F36">
            <w:pPr>
              <w:jc w:val="center"/>
              <w:rPr>
                <w:rFonts w:cs="Arial"/>
                <w:b/>
                <w:color w:val="FFFFFF"/>
                <w:sz w:val="14"/>
                <w:szCs w:val="16"/>
              </w:rPr>
            </w:pPr>
            <w:r>
              <w:rPr>
                <w:rFonts w:cs="Arial"/>
                <w:b/>
                <w:color w:val="FFFFFF"/>
                <w:sz w:val="14"/>
                <w:szCs w:val="16"/>
              </w:rPr>
              <w:t>Description</w:t>
            </w:r>
          </w:p>
        </w:tc>
      </w:tr>
      <w:tr w:rsidR="00CE537D" w:rsidRPr="00BC665D" w14:paraId="6312B957" w14:textId="77777777" w:rsidTr="00CE537D">
        <w:trPr>
          <w:tblCellSpacing w:w="20" w:type="dxa"/>
        </w:trPr>
        <w:tc>
          <w:tcPr>
            <w:tcW w:w="926" w:type="dxa"/>
            <w:shd w:val="clear" w:color="auto" w:fill="A6A6A6" w:themeFill="background1" w:themeFillShade="A6"/>
          </w:tcPr>
          <w:p w14:paraId="06F48338" w14:textId="511EB374" w:rsidR="00CE537D" w:rsidRPr="00713767" w:rsidRDefault="00CE537D" w:rsidP="00AD2F36">
            <w:pPr>
              <w:jc w:val="left"/>
              <w:rPr>
                <w:rFonts w:cs="Arial"/>
                <w:b/>
                <w:sz w:val="14"/>
                <w:szCs w:val="16"/>
              </w:rPr>
            </w:pPr>
            <w:r w:rsidRPr="00CE537D">
              <w:rPr>
                <w:rFonts w:cs="Arial"/>
                <w:b/>
                <w:sz w:val="14"/>
                <w:szCs w:val="16"/>
              </w:rPr>
              <w:t>Standard Request</w:t>
            </w:r>
          </w:p>
        </w:tc>
        <w:tc>
          <w:tcPr>
            <w:tcW w:w="3753" w:type="dxa"/>
            <w:shd w:val="clear" w:color="auto" w:fill="A6A6A6" w:themeFill="background1" w:themeFillShade="A6"/>
          </w:tcPr>
          <w:p w14:paraId="1AEFA8BB" w14:textId="77777777" w:rsidR="00CE537D" w:rsidRPr="00CE537D" w:rsidRDefault="00CE537D" w:rsidP="00CE537D">
            <w:pPr>
              <w:jc w:val="left"/>
              <w:rPr>
                <w:rFonts w:cs="Arial"/>
                <w:sz w:val="14"/>
                <w:szCs w:val="16"/>
              </w:rPr>
            </w:pPr>
            <w:r w:rsidRPr="00CE537D">
              <w:rPr>
                <w:rFonts w:cs="Arial"/>
                <w:sz w:val="14"/>
                <w:szCs w:val="16"/>
              </w:rPr>
              <w:t>Non service affecting change</w:t>
            </w:r>
          </w:p>
          <w:p w14:paraId="7728BD36" w14:textId="77777777" w:rsidR="00CE537D" w:rsidRPr="00CE537D" w:rsidRDefault="00CE537D" w:rsidP="00CE537D">
            <w:pPr>
              <w:jc w:val="left"/>
              <w:rPr>
                <w:rFonts w:cs="Arial"/>
                <w:sz w:val="14"/>
                <w:szCs w:val="16"/>
              </w:rPr>
            </w:pPr>
            <w:r w:rsidRPr="00CE537D">
              <w:rPr>
                <w:rFonts w:cs="Arial"/>
                <w:sz w:val="14"/>
                <w:szCs w:val="16"/>
              </w:rPr>
              <w:t>Risk: Low</w:t>
            </w:r>
          </w:p>
          <w:p w14:paraId="4A2E08C1" w14:textId="70EFB20E" w:rsidR="00CE537D" w:rsidRPr="00713767" w:rsidRDefault="00CE537D" w:rsidP="00CE537D">
            <w:pPr>
              <w:jc w:val="left"/>
              <w:rPr>
                <w:rFonts w:cs="Arial"/>
                <w:sz w:val="14"/>
                <w:szCs w:val="16"/>
              </w:rPr>
            </w:pPr>
            <w:r w:rsidRPr="00CE537D">
              <w:rPr>
                <w:rFonts w:cs="Arial"/>
                <w:sz w:val="14"/>
                <w:szCs w:val="16"/>
              </w:rPr>
              <w:t>This request does not require customer change board approval.</w:t>
            </w:r>
          </w:p>
        </w:tc>
      </w:tr>
      <w:tr w:rsidR="00CE537D" w:rsidRPr="00BC665D" w14:paraId="79F5E9AC" w14:textId="77777777" w:rsidTr="00CE537D">
        <w:trPr>
          <w:tblCellSpacing w:w="20" w:type="dxa"/>
        </w:trPr>
        <w:tc>
          <w:tcPr>
            <w:tcW w:w="926" w:type="dxa"/>
          </w:tcPr>
          <w:p w14:paraId="605D27A7" w14:textId="326A4100" w:rsidR="00CE537D" w:rsidRPr="00713767" w:rsidRDefault="00CE537D" w:rsidP="00AD2F36">
            <w:pPr>
              <w:jc w:val="left"/>
              <w:rPr>
                <w:rFonts w:cs="Arial"/>
                <w:b/>
                <w:sz w:val="14"/>
                <w:szCs w:val="16"/>
              </w:rPr>
            </w:pPr>
            <w:r w:rsidRPr="00CE537D">
              <w:rPr>
                <w:rFonts w:cs="Arial"/>
                <w:b/>
                <w:sz w:val="14"/>
                <w:szCs w:val="16"/>
              </w:rPr>
              <w:t>Major Change</w:t>
            </w:r>
          </w:p>
        </w:tc>
        <w:tc>
          <w:tcPr>
            <w:tcW w:w="3753" w:type="dxa"/>
          </w:tcPr>
          <w:p w14:paraId="768C048C" w14:textId="77777777" w:rsidR="00CE537D" w:rsidRPr="00CE537D" w:rsidRDefault="00CE537D" w:rsidP="00CE537D">
            <w:pPr>
              <w:jc w:val="left"/>
              <w:rPr>
                <w:rFonts w:cs="Arial"/>
                <w:sz w:val="14"/>
                <w:szCs w:val="16"/>
              </w:rPr>
            </w:pPr>
            <w:r w:rsidRPr="00CE537D">
              <w:rPr>
                <w:rFonts w:cs="Arial"/>
                <w:sz w:val="14"/>
                <w:szCs w:val="16"/>
              </w:rPr>
              <w:t>Service affecting change</w:t>
            </w:r>
          </w:p>
          <w:p w14:paraId="749754FC" w14:textId="77777777" w:rsidR="00CE537D" w:rsidRPr="00CE537D" w:rsidRDefault="00CE537D" w:rsidP="00CE537D">
            <w:pPr>
              <w:jc w:val="left"/>
              <w:rPr>
                <w:rFonts w:cs="Arial"/>
                <w:sz w:val="14"/>
                <w:szCs w:val="16"/>
              </w:rPr>
            </w:pPr>
            <w:r w:rsidRPr="00CE537D">
              <w:rPr>
                <w:rFonts w:cs="Arial"/>
                <w:sz w:val="14"/>
                <w:szCs w:val="16"/>
              </w:rPr>
              <w:t>Risk: Medium/ High</w:t>
            </w:r>
          </w:p>
          <w:p w14:paraId="0E915EFE" w14:textId="6CA43790" w:rsidR="00CE537D" w:rsidRPr="00713767" w:rsidRDefault="00CE537D" w:rsidP="00CE537D">
            <w:pPr>
              <w:jc w:val="left"/>
              <w:rPr>
                <w:rFonts w:cs="Arial"/>
                <w:sz w:val="14"/>
                <w:szCs w:val="16"/>
              </w:rPr>
            </w:pPr>
            <w:r w:rsidRPr="00CE537D">
              <w:rPr>
                <w:rFonts w:cs="Arial"/>
                <w:sz w:val="14"/>
                <w:szCs w:val="16"/>
              </w:rPr>
              <w:t>This request requires customer change board approval.</w:t>
            </w:r>
          </w:p>
        </w:tc>
      </w:tr>
    </w:tbl>
    <w:p w14:paraId="6F8E1FCB" w14:textId="55662E79" w:rsidR="00DA5641" w:rsidRDefault="00DA5641" w:rsidP="00DA5641">
      <w:r w:rsidRPr="00562E69">
        <w:t xml:space="preserve">The Customer is entitled for up to three </w:t>
      </w:r>
      <w:r w:rsidR="00562E69" w:rsidRPr="00562E69">
        <w:rPr>
          <w:rFonts w:eastAsia="MS PGothic"/>
          <w:kern w:val="24"/>
        </w:rPr>
        <w:t>Customer Request Ticket</w:t>
      </w:r>
      <w:r w:rsidRPr="00562E69">
        <w:t xml:space="preserve"> per supported database instance per calendar</w:t>
      </w:r>
      <w:r>
        <w:t xml:space="preserve"> month, unless otherwise specified in the Order Form.</w:t>
      </w:r>
    </w:p>
    <w:p w14:paraId="0F2A5F46" w14:textId="6A8C4B29" w:rsidR="00DA5641" w:rsidRDefault="00DA5641" w:rsidP="00DA5641">
      <w:r w:rsidRPr="00B3789B">
        <w:t xml:space="preserve">The </w:t>
      </w:r>
      <w:r w:rsidRPr="00562E69">
        <w:t xml:space="preserve">Customer will be liable to pay Additional Charges for any </w:t>
      </w:r>
      <w:r w:rsidR="00562E69" w:rsidRPr="00562E69">
        <w:rPr>
          <w:rFonts w:eastAsia="MS PGothic"/>
          <w:kern w:val="24"/>
        </w:rPr>
        <w:t>Customer Request Ticket</w:t>
      </w:r>
      <w:r w:rsidR="00562E69" w:rsidRPr="00562E69">
        <w:t xml:space="preserve"> </w:t>
      </w:r>
      <w:r w:rsidRPr="00562E69">
        <w:t>which</w:t>
      </w:r>
      <w:r w:rsidRPr="00B3789B">
        <w:t xml:space="preserve"> are raised that are not on the Customer Request Fulfilment list</w:t>
      </w:r>
      <w:r>
        <w:t xml:space="preserve"> or if the monthly entitlement is exceeded</w:t>
      </w:r>
      <w:r w:rsidRPr="00B3789B">
        <w:t>, unles</w:t>
      </w:r>
      <w:r>
        <w:t xml:space="preserve">s specified otherwise in </w:t>
      </w:r>
      <w:r w:rsidRPr="00B3789B">
        <w:t>Order</w:t>
      </w:r>
      <w:r>
        <w:t xml:space="preserve"> Form</w:t>
      </w:r>
      <w:r w:rsidRPr="00B3789B">
        <w:t>.</w:t>
      </w:r>
    </w:p>
    <w:p w14:paraId="0B372BC6" w14:textId="1BB8E424" w:rsidR="00504EA7" w:rsidRPr="00504EA7" w:rsidRDefault="00504EA7" w:rsidP="00CE537D">
      <w:pPr>
        <w:pStyle w:val="Heading3"/>
      </w:pPr>
      <w:r w:rsidRPr="00CE537D">
        <w:lastRenderedPageBreak/>
        <w:t>S</w:t>
      </w:r>
      <w:r w:rsidR="00CE537D" w:rsidRPr="00CE537D">
        <w:t>upport</w:t>
      </w:r>
      <w:r w:rsidR="00FA6AC4">
        <w:t xml:space="preserve"> l</w:t>
      </w:r>
      <w:r w:rsidR="00CE537D" w:rsidRPr="00504EA7">
        <w:t>evel</w:t>
      </w:r>
    </w:p>
    <w:p w14:paraId="78C563EA" w14:textId="389D7250" w:rsidR="00C11B76" w:rsidRPr="00595B74" w:rsidRDefault="00C11B76" w:rsidP="00C11B76">
      <w:r w:rsidRPr="00595B74">
        <w:t>For Supported Software as part of the Services, th</w:t>
      </w:r>
      <w:r>
        <w:t>e Customer can choose from two</w:t>
      </w:r>
      <w:r w:rsidRPr="00595B74">
        <w:t xml:space="preserve"> levels of support, namely:</w:t>
      </w:r>
    </w:p>
    <w:p w14:paraId="4796EE96" w14:textId="77777777" w:rsidR="00C11B76" w:rsidRDefault="00C11B76" w:rsidP="00CE393B">
      <w:pPr>
        <w:pStyle w:val="ListParagraph"/>
        <w:numPr>
          <w:ilvl w:val="0"/>
          <w:numId w:val="16"/>
        </w:numPr>
      </w:pPr>
      <w:r w:rsidRPr="00595B74">
        <w:t>Access Knowledge</w:t>
      </w:r>
      <w:r>
        <w:t xml:space="preserve"> and </w:t>
      </w:r>
    </w:p>
    <w:p w14:paraId="7175B417" w14:textId="592B073A" w:rsidR="00C31225" w:rsidRDefault="00C11B76" w:rsidP="00C31225">
      <w:pPr>
        <w:pStyle w:val="ListParagraph"/>
        <w:numPr>
          <w:ilvl w:val="0"/>
          <w:numId w:val="16"/>
        </w:numPr>
      </w:pPr>
      <w:r w:rsidRPr="00595B74">
        <w:t>Managed</w:t>
      </w:r>
      <w:r>
        <w:t>.</w:t>
      </w:r>
    </w:p>
    <w:p w14:paraId="0D5FD934" w14:textId="77777777" w:rsidR="00C11B76" w:rsidRDefault="00C11B76" w:rsidP="00C11B76">
      <w:r>
        <w:t>The Customer can then add the following additional Service options:</w:t>
      </w:r>
    </w:p>
    <w:p w14:paraId="311C54CB" w14:textId="77777777" w:rsidR="00C11B76" w:rsidRDefault="00C11B76" w:rsidP="00CE393B">
      <w:pPr>
        <w:pStyle w:val="ListParagraph"/>
        <w:numPr>
          <w:ilvl w:val="0"/>
          <w:numId w:val="17"/>
        </w:numPr>
      </w:pPr>
      <w:r>
        <w:t xml:space="preserve">Enhanced Patch Management; </w:t>
      </w:r>
    </w:p>
    <w:p w14:paraId="26EDAC5D" w14:textId="77777777" w:rsidR="00C11B76" w:rsidRDefault="00C11B76" w:rsidP="00CE393B">
      <w:pPr>
        <w:pStyle w:val="ListParagraph"/>
        <w:numPr>
          <w:ilvl w:val="0"/>
          <w:numId w:val="17"/>
        </w:numPr>
      </w:pPr>
      <w:r>
        <w:t>Disaster Recovery Test Support and</w:t>
      </w:r>
    </w:p>
    <w:p w14:paraId="7BE150D0" w14:textId="582B92E8" w:rsidR="00C31225" w:rsidRDefault="00C11B76" w:rsidP="00C31225">
      <w:pPr>
        <w:pStyle w:val="ListParagraph"/>
        <w:numPr>
          <w:ilvl w:val="0"/>
          <w:numId w:val="17"/>
        </w:numPr>
      </w:pPr>
      <w:r>
        <w:t>Consulting Services.</w:t>
      </w:r>
    </w:p>
    <w:p w14:paraId="06AF2C74" w14:textId="6762EABB" w:rsidR="00C11B76" w:rsidRDefault="00C11B76" w:rsidP="00C11B76">
      <w:r w:rsidRPr="00595B74">
        <w:t xml:space="preserve">The Support Level chosen by the Customer shall be stated in </w:t>
      </w:r>
      <w:r>
        <w:t xml:space="preserve">the </w:t>
      </w:r>
      <w:r w:rsidRPr="00595B74">
        <w:t>Order</w:t>
      </w:r>
      <w:r>
        <w:t xml:space="preserve"> Form</w:t>
      </w:r>
      <w:r w:rsidRPr="00595B74">
        <w:t>.</w:t>
      </w:r>
    </w:p>
    <w:p w14:paraId="48DBF914" w14:textId="1F05F5A5" w:rsidR="00914B51" w:rsidRPr="00504EA7" w:rsidRDefault="00504EA7" w:rsidP="00CE537D">
      <w:pPr>
        <w:pStyle w:val="Heading3"/>
      </w:pPr>
      <w:r w:rsidRPr="00504EA7">
        <w:t>Measurement</w:t>
      </w:r>
    </w:p>
    <w:p w14:paraId="39EF3FF2" w14:textId="2FF558E4" w:rsidR="00914B51" w:rsidRDefault="00914B51" w:rsidP="00914B51">
      <w:r>
        <w:t xml:space="preserve">The support levels are measured over a three (3) month rolling period. </w:t>
      </w:r>
    </w:p>
    <w:p w14:paraId="2A74EBED" w14:textId="3C397238" w:rsidR="00914B51" w:rsidRDefault="00914B51" w:rsidP="00914B51">
      <w:r>
        <w:t xml:space="preserve">Where: </w:t>
      </w:r>
    </w:p>
    <w:p w14:paraId="628BA1BC" w14:textId="5BDB5F3F" w:rsidR="00914B51" w:rsidRPr="00914B51" w:rsidRDefault="00914B51" w:rsidP="00FA6AC4">
      <w:r w:rsidRPr="00914B51">
        <w:t>a)</w:t>
      </w:r>
      <w:r w:rsidR="00DC349E">
        <w:t xml:space="preserve"> </w:t>
      </w:r>
      <w:r w:rsidR="00CE537D" w:rsidRPr="00914B51">
        <w:t>F</w:t>
      </w:r>
      <w:r w:rsidRPr="00914B51">
        <w:t xml:space="preserve">urther information is requested from the Customer by </w:t>
      </w:r>
      <w:r>
        <w:t>Node4</w:t>
      </w:r>
      <w:r w:rsidRPr="00914B51">
        <w:t xml:space="preserve">; or </w:t>
      </w:r>
    </w:p>
    <w:p w14:paraId="21C8A3CF" w14:textId="24791B95" w:rsidR="00914B51" w:rsidRDefault="00914B51" w:rsidP="00FA6AC4">
      <w:bookmarkStart w:id="4" w:name="_GoBack"/>
      <w:bookmarkEnd w:id="4"/>
      <w:r>
        <w:t xml:space="preserve">b) </w:t>
      </w:r>
      <w:r w:rsidR="00CE537D">
        <w:t>T</w:t>
      </w:r>
      <w:r>
        <w:t xml:space="preserve">he Ticket is forwarded to a third party in order to obtain any further information or clarification relating to the Ticket, the measurement of the Service Level shall be suspended until Node4 receives sufficient information to investigate the Ticket. </w:t>
      </w:r>
    </w:p>
    <w:p w14:paraId="2940EF01" w14:textId="09E1D080" w:rsidR="00914B51" w:rsidRDefault="00914B51" w:rsidP="00914B51">
      <w:r>
        <w:t xml:space="preserve">For Tickets where support is only provided during </w:t>
      </w:r>
      <w:r w:rsidR="00D33E41">
        <w:t>Business Hours</w:t>
      </w:r>
      <w:r>
        <w:t xml:space="preserve">, the measurement of the Service Level response times shall be suspended during the time periods outside of </w:t>
      </w:r>
      <w:r w:rsidR="00D33E41">
        <w:t>Business Hours</w:t>
      </w:r>
      <w:r>
        <w:t>.</w:t>
      </w:r>
    </w:p>
    <w:p w14:paraId="50964DCA" w14:textId="4065C7FD" w:rsidR="00504EA7" w:rsidRPr="00504EA7" w:rsidRDefault="00FA6AC4" w:rsidP="00CE537D">
      <w:pPr>
        <w:pStyle w:val="Heading3"/>
      </w:pPr>
      <w:r>
        <w:t>Time to r</w:t>
      </w:r>
      <w:r w:rsidR="00504EA7" w:rsidRPr="00504EA7">
        <w:t>espond</w:t>
      </w:r>
    </w:p>
    <w:p w14:paraId="32A527BD" w14:textId="5DE7EB47" w:rsidR="00CE537D" w:rsidRDefault="00C11B76" w:rsidP="00C11B76">
      <w:r>
        <w:rPr>
          <w:bdr w:val="none" w:sz="0" w:space="0" w:color="auto" w:frame="1"/>
        </w:rPr>
        <w:t>Node4 s</w:t>
      </w:r>
      <w:r w:rsidRPr="00595B74">
        <w:rPr>
          <w:bdr w:val="none" w:sz="0" w:space="0" w:color="auto" w:frame="1"/>
        </w:rPr>
        <w:t>hall</w:t>
      </w:r>
      <w:bookmarkEnd w:id="2"/>
      <w:r>
        <w:rPr>
          <w:bdr w:val="none" w:sz="0" w:space="0" w:color="auto" w:frame="1"/>
        </w:rPr>
        <w:t xml:space="preserve"> </w:t>
      </w:r>
      <w:r w:rsidRPr="00595B74">
        <w:t xml:space="preserve">prioritise all </w:t>
      </w:r>
      <w:r w:rsidR="002C2A91">
        <w:t>Trouble</w:t>
      </w:r>
      <w:r w:rsidR="001905BE">
        <w:t xml:space="preserve"> </w:t>
      </w:r>
      <w:r w:rsidRPr="00595B74">
        <w:t>Tickets based on it</w:t>
      </w:r>
      <w:r>
        <w:t>s reasonable assessment of the Severity L</w:t>
      </w:r>
      <w:r w:rsidRPr="00595B74">
        <w:t>evel; and</w:t>
      </w:r>
      <w:r>
        <w:t xml:space="preserve"> </w:t>
      </w:r>
      <w:r w:rsidRPr="00595B74">
        <w:t xml:space="preserve">respond to all </w:t>
      </w:r>
      <w:r w:rsidR="002C2A91">
        <w:t xml:space="preserve">Trouble </w:t>
      </w:r>
      <w:r w:rsidRPr="00595B74">
        <w:t xml:space="preserve">Tickets in accordance with the </w:t>
      </w:r>
      <w:r>
        <w:t>Initial R</w:t>
      </w:r>
      <w:r w:rsidRPr="00595B74">
        <w:t>esponse times specified in the table set out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86"/>
        <w:gridCol w:w="1390"/>
        <w:gridCol w:w="1211"/>
        <w:gridCol w:w="1212"/>
      </w:tblGrid>
      <w:tr w:rsidR="00C351C1" w:rsidRPr="00BC665D" w14:paraId="43B342D1" w14:textId="77777777" w:rsidTr="00C351C1">
        <w:trPr>
          <w:trHeight w:val="481"/>
          <w:tblCellSpacing w:w="20" w:type="dxa"/>
        </w:trPr>
        <w:tc>
          <w:tcPr>
            <w:tcW w:w="926" w:type="dxa"/>
            <w:vMerge w:val="restart"/>
            <w:shd w:val="clear" w:color="auto" w:fill="000000" w:themeFill="text1"/>
            <w:vAlign w:val="bottom"/>
          </w:tcPr>
          <w:p w14:paraId="3497906F" w14:textId="76F02BEC" w:rsidR="00C351C1" w:rsidRPr="00713767" w:rsidRDefault="00C351C1" w:rsidP="00CE537D">
            <w:pPr>
              <w:jc w:val="center"/>
              <w:rPr>
                <w:rFonts w:cs="Arial"/>
                <w:b/>
                <w:color w:val="FFFFFF"/>
                <w:sz w:val="14"/>
                <w:szCs w:val="16"/>
              </w:rPr>
            </w:pPr>
            <w:r>
              <w:rPr>
                <w:rFonts w:cs="Arial"/>
                <w:b/>
                <w:color w:val="FFFFFF"/>
                <w:sz w:val="14"/>
                <w:szCs w:val="16"/>
              </w:rPr>
              <w:t>Severity Level</w:t>
            </w:r>
          </w:p>
        </w:tc>
        <w:tc>
          <w:tcPr>
            <w:tcW w:w="1350" w:type="dxa"/>
            <w:vMerge w:val="restart"/>
            <w:shd w:val="clear" w:color="auto" w:fill="000000" w:themeFill="text1"/>
            <w:vAlign w:val="center"/>
          </w:tcPr>
          <w:p w14:paraId="358CCA11" w14:textId="77777777" w:rsidR="00C351C1" w:rsidRPr="00713767" w:rsidRDefault="00C351C1" w:rsidP="00AD2F36">
            <w:pPr>
              <w:jc w:val="center"/>
              <w:rPr>
                <w:rFonts w:cs="Arial"/>
                <w:b/>
                <w:color w:val="FFFFFF"/>
                <w:sz w:val="14"/>
                <w:szCs w:val="16"/>
              </w:rPr>
            </w:pPr>
          </w:p>
        </w:tc>
        <w:tc>
          <w:tcPr>
            <w:tcW w:w="2363" w:type="dxa"/>
            <w:gridSpan w:val="2"/>
            <w:shd w:val="clear" w:color="auto" w:fill="000000" w:themeFill="text1"/>
            <w:vAlign w:val="bottom"/>
          </w:tcPr>
          <w:p w14:paraId="69BE46E9" w14:textId="20DF4711" w:rsidR="00C351C1" w:rsidRDefault="00C351C1" w:rsidP="00CE537D">
            <w:pPr>
              <w:jc w:val="center"/>
              <w:rPr>
                <w:rFonts w:cs="Arial"/>
                <w:b/>
                <w:color w:val="FFFFFF"/>
                <w:sz w:val="14"/>
                <w:szCs w:val="16"/>
              </w:rPr>
            </w:pPr>
            <w:r>
              <w:rPr>
                <w:rFonts w:cs="Arial"/>
                <w:b/>
                <w:color w:val="FFFFFF"/>
                <w:sz w:val="14"/>
                <w:szCs w:val="16"/>
              </w:rPr>
              <w:t>Support Levels</w:t>
            </w:r>
          </w:p>
        </w:tc>
      </w:tr>
      <w:tr w:rsidR="00CE537D" w:rsidRPr="00BC665D" w14:paraId="3DB29219" w14:textId="2DF321F3" w:rsidTr="00C351C1">
        <w:trPr>
          <w:trHeight w:val="459"/>
          <w:tblCellSpacing w:w="20" w:type="dxa"/>
        </w:trPr>
        <w:tc>
          <w:tcPr>
            <w:tcW w:w="926" w:type="dxa"/>
            <w:vMerge/>
            <w:shd w:val="clear" w:color="auto" w:fill="000000" w:themeFill="text1"/>
            <w:vAlign w:val="bottom"/>
          </w:tcPr>
          <w:p w14:paraId="4EFBCA0D" w14:textId="0873517D" w:rsidR="00CE537D" w:rsidRPr="00713767" w:rsidRDefault="00CE537D" w:rsidP="00AD2F36">
            <w:pPr>
              <w:jc w:val="center"/>
              <w:rPr>
                <w:rFonts w:cs="Arial"/>
                <w:b/>
                <w:color w:val="FFFFFF"/>
                <w:sz w:val="14"/>
                <w:szCs w:val="16"/>
              </w:rPr>
            </w:pPr>
          </w:p>
        </w:tc>
        <w:tc>
          <w:tcPr>
            <w:tcW w:w="1350" w:type="dxa"/>
            <w:vMerge/>
            <w:shd w:val="clear" w:color="auto" w:fill="000000" w:themeFill="text1"/>
            <w:vAlign w:val="center"/>
          </w:tcPr>
          <w:p w14:paraId="2C8321C0" w14:textId="38AE0E9C" w:rsidR="00CE537D" w:rsidRPr="00713767" w:rsidRDefault="00CE537D" w:rsidP="00AD2F36">
            <w:pPr>
              <w:jc w:val="center"/>
              <w:rPr>
                <w:rFonts w:cs="Arial"/>
                <w:b/>
                <w:color w:val="FFFFFF"/>
                <w:sz w:val="14"/>
                <w:szCs w:val="16"/>
              </w:rPr>
            </w:pPr>
          </w:p>
        </w:tc>
        <w:tc>
          <w:tcPr>
            <w:tcW w:w="1171" w:type="dxa"/>
            <w:shd w:val="clear" w:color="auto" w:fill="000000" w:themeFill="text1"/>
            <w:vAlign w:val="center"/>
          </w:tcPr>
          <w:p w14:paraId="37A3A0D0" w14:textId="54500C3E" w:rsidR="00CE537D" w:rsidRDefault="00CE537D" w:rsidP="00CE537D">
            <w:pPr>
              <w:jc w:val="center"/>
              <w:rPr>
                <w:rFonts w:cs="Arial"/>
                <w:b/>
                <w:color w:val="FFFFFF"/>
                <w:sz w:val="14"/>
                <w:szCs w:val="16"/>
              </w:rPr>
            </w:pPr>
            <w:r>
              <w:rPr>
                <w:rFonts w:cs="Arial"/>
                <w:b/>
                <w:color w:val="FFFFFF"/>
                <w:sz w:val="14"/>
                <w:szCs w:val="16"/>
              </w:rPr>
              <w:t>Access Knowledge</w:t>
            </w:r>
          </w:p>
        </w:tc>
        <w:tc>
          <w:tcPr>
            <w:tcW w:w="1152" w:type="dxa"/>
            <w:shd w:val="clear" w:color="auto" w:fill="000000" w:themeFill="text1"/>
            <w:vAlign w:val="center"/>
          </w:tcPr>
          <w:p w14:paraId="636A4469" w14:textId="48EAE8C2" w:rsidR="00CE537D" w:rsidRDefault="00CE537D" w:rsidP="00CE537D">
            <w:pPr>
              <w:jc w:val="center"/>
              <w:rPr>
                <w:rFonts w:cs="Arial"/>
                <w:b/>
                <w:color w:val="FFFFFF"/>
                <w:sz w:val="14"/>
                <w:szCs w:val="16"/>
              </w:rPr>
            </w:pPr>
            <w:r>
              <w:rPr>
                <w:rFonts w:cs="Arial"/>
                <w:b/>
                <w:color w:val="FFFFFF"/>
                <w:sz w:val="14"/>
                <w:szCs w:val="16"/>
              </w:rPr>
              <w:t>Managed</w:t>
            </w:r>
          </w:p>
        </w:tc>
      </w:tr>
      <w:tr w:rsidR="00CE537D" w:rsidRPr="00BC665D" w14:paraId="546B39F8" w14:textId="7ECF67E0" w:rsidTr="00C351C1">
        <w:trPr>
          <w:tblCellSpacing w:w="20" w:type="dxa"/>
        </w:trPr>
        <w:tc>
          <w:tcPr>
            <w:tcW w:w="926" w:type="dxa"/>
            <w:shd w:val="clear" w:color="auto" w:fill="A6A6A6" w:themeFill="background1" w:themeFillShade="A6"/>
          </w:tcPr>
          <w:p w14:paraId="069BB0A3" w14:textId="0637C1C5" w:rsidR="00CE537D" w:rsidRPr="00713767" w:rsidRDefault="00CE537D" w:rsidP="00AD2F36">
            <w:pPr>
              <w:jc w:val="left"/>
              <w:rPr>
                <w:rFonts w:cs="Arial"/>
                <w:b/>
                <w:sz w:val="14"/>
                <w:szCs w:val="16"/>
              </w:rPr>
            </w:pPr>
            <w:r>
              <w:rPr>
                <w:rFonts w:cs="Arial"/>
                <w:b/>
                <w:sz w:val="14"/>
                <w:szCs w:val="16"/>
              </w:rPr>
              <w:t>Level 1 (Critical)</w:t>
            </w:r>
          </w:p>
        </w:tc>
        <w:tc>
          <w:tcPr>
            <w:tcW w:w="1350" w:type="dxa"/>
            <w:shd w:val="clear" w:color="auto" w:fill="A6A6A6" w:themeFill="background1" w:themeFillShade="A6"/>
          </w:tcPr>
          <w:p w14:paraId="42911F51" w14:textId="646F9746" w:rsidR="00CE537D" w:rsidRPr="00713767" w:rsidRDefault="00CE537D" w:rsidP="00AD2F36">
            <w:pPr>
              <w:jc w:val="left"/>
              <w:rPr>
                <w:rFonts w:cs="Arial"/>
                <w:sz w:val="14"/>
                <w:szCs w:val="16"/>
              </w:rPr>
            </w:pPr>
            <w:r>
              <w:rPr>
                <w:rFonts w:cs="Arial"/>
                <w:sz w:val="14"/>
                <w:szCs w:val="16"/>
              </w:rPr>
              <w:t>Initial Response</w:t>
            </w:r>
          </w:p>
        </w:tc>
        <w:tc>
          <w:tcPr>
            <w:tcW w:w="1171" w:type="dxa"/>
            <w:shd w:val="clear" w:color="auto" w:fill="A6A6A6" w:themeFill="background1" w:themeFillShade="A6"/>
          </w:tcPr>
          <w:p w14:paraId="5F9050AA" w14:textId="7DDFE1F0" w:rsidR="00CE537D" w:rsidRPr="00CE537D" w:rsidRDefault="00C351C1" w:rsidP="00C351C1">
            <w:pPr>
              <w:jc w:val="center"/>
              <w:rPr>
                <w:rFonts w:cs="Arial"/>
                <w:sz w:val="14"/>
                <w:szCs w:val="16"/>
              </w:rPr>
            </w:pPr>
            <w:r>
              <w:rPr>
                <w:rFonts w:cs="Arial"/>
                <w:sz w:val="14"/>
                <w:szCs w:val="16"/>
              </w:rPr>
              <w:t>4 Hours *</w:t>
            </w:r>
          </w:p>
        </w:tc>
        <w:tc>
          <w:tcPr>
            <w:tcW w:w="1152" w:type="dxa"/>
            <w:shd w:val="clear" w:color="auto" w:fill="A6A6A6" w:themeFill="background1" w:themeFillShade="A6"/>
          </w:tcPr>
          <w:p w14:paraId="75D1069D" w14:textId="70EC708B" w:rsidR="00CE537D" w:rsidRPr="00CE537D" w:rsidRDefault="00C351C1" w:rsidP="00C351C1">
            <w:pPr>
              <w:jc w:val="center"/>
              <w:rPr>
                <w:rFonts w:cs="Arial"/>
                <w:sz w:val="14"/>
                <w:szCs w:val="16"/>
              </w:rPr>
            </w:pPr>
            <w:r>
              <w:rPr>
                <w:rFonts w:cs="Arial"/>
                <w:sz w:val="14"/>
                <w:szCs w:val="16"/>
              </w:rPr>
              <w:t>30 Mins</w:t>
            </w:r>
          </w:p>
        </w:tc>
      </w:tr>
      <w:tr w:rsidR="00CE537D" w:rsidRPr="00BC665D" w14:paraId="78826FD0" w14:textId="6EF7BA2E" w:rsidTr="00C351C1">
        <w:trPr>
          <w:tblCellSpacing w:w="20" w:type="dxa"/>
        </w:trPr>
        <w:tc>
          <w:tcPr>
            <w:tcW w:w="926" w:type="dxa"/>
          </w:tcPr>
          <w:p w14:paraId="309BCD3D" w14:textId="7FB52C40" w:rsidR="00CE537D" w:rsidRPr="00713767" w:rsidRDefault="00CE537D" w:rsidP="00AD2F36">
            <w:pPr>
              <w:jc w:val="left"/>
              <w:rPr>
                <w:rFonts w:cs="Arial"/>
                <w:b/>
                <w:sz w:val="14"/>
                <w:szCs w:val="16"/>
              </w:rPr>
            </w:pPr>
            <w:r>
              <w:rPr>
                <w:rFonts w:cs="Arial"/>
                <w:b/>
                <w:sz w:val="14"/>
                <w:szCs w:val="16"/>
              </w:rPr>
              <w:t>Level 1 (Critical)</w:t>
            </w:r>
          </w:p>
        </w:tc>
        <w:tc>
          <w:tcPr>
            <w:tcW w:w="1350" w:type="dxa"/>
          </w:tcPr>
          <w:p w14:paraId="10787739" w14:textId="280B345E" w:rsidR="00CE537D" w:rsidRPr="00713767" w:rsidRDefault="00CE537D" w:rsidP="00AD2F36">
            <w:pPr>
              <w:jc w:val="left"/>
              <w:rPr>
                <w:rFonts w:cs="Arial"/>
                <w:sz w:val="14"/>
                <w:szCs w:val="16"/>
              </w:rPr>
            </w:pPr>
            <w:r>
              <w:rPr>
                <w:rFonts w:cs="Arial"/>
                <w:sz w:val="14"/>
                <w:szCs w:val="16"/>
              </w:rPr>
              <w:t>Target Remedial Action Time</w:t>
            </w:r>
          </w:p>
        </w:tc>
        <w:tc>
          <w:tcPr>
            <w:tcW w:w="1171" w:type="dxa"/>
          </w:tcPr>
          <w:p w14:paraId="7063E0D7" w14:textId="44D8D1CA" w:rsidR="00CE537D" w:rsidRPr="00CE537D" w:rsidRDefault="00C351C1" w:rsidP="00C351C1">
            <w:pPr>
              <w:jc w:val="center"/>
              <w:rPr>
                <w:rFonts w:cs="Arial"/>
                <w:sz w:val="14"/>
                <w:szCs w:val="16"/>
              </w:rPr>
            </w:pPr>
            <w:r>
              <w:rPr>
                <w:rFonts w:cs="Arial"/>
                <w:sz w:val="14"/>
                <w:szCs w:val="16"/>
              </w:rPr>
              <w:t>99% Within 8 Hours *</w:t>
            </w:r>
          </w:p>
        </w:tc>
        <w:tc>
          <w:tcPr>
            <w:tcW w:w="1152" w:type="dxa"/>
          </w:tcPr>
          <w:p w14:paraId="30AE6E5F" w14:textId="4CF51A62" w:rsidR="00CE537D" w:rsidRPr="00CE537D" w:rsidRDefault="00C351C1" w:rsidP="00C351C1">
            <w:pPr>
              <w:jc w:val="center"/>
              <w:rPr>
                <w:rFonts w:cs="Arial"/>
                <w:sz w:val="14"/>
                <w:szCs w:val="16"/>
              </w:rPr>
            </w:pPr>
            <w:r>
              <w:rPr>
                <w:rFonts w:cs="Arial"/>
                <w:sz w:val="14"/>
                <w:szCs w:val="16"/>
              </w:rPr>
              <w:t>99% Within 1 Hour</w:t>
            </w:r>
          </w:p>
        </w:tc>
      </w:tr>
      <w:tr w:rsidR="00C351C1" w:rsidRPr="00BC665D" w14:paraId="264A3333" w14:textId="77777777" w:rsidTr="00C351C1">
        <w:trPr>
          <w:tblCellSpacing w:w="20" w:type="dxa"/>
        </w:trPr>
        <w:tc>
          <w:tcPr>
            <w:tcW w:w="926" w:type="dxa"/>
            <w:shd w:val="clear" w:color="auto" w:fill="A6A6A6" w:themeFill="background1" w:themeFillShade="A6"/>
          </w:tcPr>
          <w:p w14:paraId="249F95C6" w14:textId="24114BB4" w:rsidR="00C351C1" w:rsidRPr="00CE537D" w:rsidRDefault="00C351C1" w:rsidP="00C351C1">
            <w:pPr>
              <w:jc w:val="left"/>
              <w:rPr>
                <w:rFonts w:cs="Arial"/>
                <w:b/>
                <w:sz w:val="14"/>
                <w:szCs w:val="16"/>
              </w:rPr>
            </w:pPr>
            <w:r>
              <w:rPr>
                <w:rFonts w:cs="Arial"/>
                <w:b/>
                <w:sz w:val="14"/>
                <w:szCs w:val="16"/>
              </w:rPr>
              <w:t>Level 2 (Major)</w:t>
            </w:r>
          </w:p>
        </w:tc>
        <w:tc>
          <w:tcPr>
            <w:tcW w:w="1350" w:type="dxa"/>
            <w:shd w:val="clear" w:color="auto" w:fill="A6A6A6" w:themeFill="background1" w:themeFillShade="A6"/>
          </w:tcPr>
          <w:p w14:paraId="1941A007" w14:textId="08E462FF" w:rsidR="00C351C1" w:rsidRPr="00713767" w:rsidRDefault="00C351C1" w:rsidP="00C351C1">
            <w:pPr>
              <w:jc w:val="left"/>
              <w:rPr>
                <w:rFonts w:cs="Arial"/>
                <w:sz w:val="14"/>
                <w:szCs w:val="16"/>
              </w:rPr>
            </w:pPr>
            <w:r>
              <w:rPr>
                <w:rFonts w:cs="Arial"/>
                <w:sz w:val="14"/>
                <w:szCs w:val="16"/>
              </w:rPr>
              <w:t>Initial Response</w:t>
            </w:r>
          </w:p>
        </w:tc>
        <w:tc>
          <w:tcPr>
            <w:tcW w:w="1171" w:type="dxa"/>
            <w:shd w:val="clear" w:color="auto" w:fill="A6A6A6" w:themeFill="background1" w:themeFillShade="A6"/>
          </w:tcPr>
          <w:p w14:paraId="05A4F0E2" w14:textId="7201FFEF" w:rsidR="00C351C1" w:rsidRPr="00CE537D" w:rsidRDefault="00C351C1" w:rsidP="00C351C1">
            <w:pPr>
              <w:jc w:val="center"/>
              <w:rPr>
                <w:rFonts w:cs="Arial"/>
                <w:sz w:val="14"/>
                <w:szCs w:val="16"/>
              </w:rPr>
            </w:pPr>
            <w:r>
              <w:rPr>
                <w:rFonts w:cs="Arial"/>
                <w:sz w:val="14"/>
                <w:szCs w:val="16"/>
              </w:rPr>
              <w:t>4 Hours *</w:t>
            </w:r>
          </w:p>
        </w:tc>
        <w:tc>
          <w:tcPr>
            <w:tcW w:w="1152" w:type="dxa"/>
            <w:shd w:val="clear" w:color="auto" w:fill="A6A6A6" w:themeFill="background1" w:themeFillShade="A6"/>
          </w:tcPr>
          <w:p w14:paraId="23B9B464" w14:textId="51C467F6" w:rsidR="00C351C1" w:rsidRPr="00CE537D" w:rsidRDefault="00C351C1" w:rsidP="00C351C1">
            <w:pPr>
              <w:jc w:val="center"/>
              <w:rPr>
                <w:rFonts w:cs="Arial"/>
                <w:sz w:val="14"/>
                <w:szCs w:val="16"/>
              </w:rPr>
            </w:pPr>
            <w:r>
              <w:rPr>
                <w:rFonts w:cs="Arial"/>
                <w:sz w:val="14"/>
                <w:szCs w:val="16"/>
              </w:rPr>
              <w:t>2 Hours *</w:t>
            </w:r>
          </w:p>
        </w:tc>
      </w:tr>
      <w:tr w:rsidR="00C351C1" w:rsidRPr="00BC665D" w14:paraId="79DF1483" w14:textId="77777777" w:rsidTr="00C351C1">
        <w:trPr>
          <w:tblCellSpacing w:w="20" w:type="dxa"/>
        </w:trPr>
        <w:tc>
          <w:tcPr>
            <w:tcW w:w="926" w:type="dxa"/>
          </w:tcPr>
          <w:p w14:paraId="079B0153" w14:textId="42819DC9" w:rsidR="00C351C1" w:rsidRPr="00CE537D" w:rsidRDefault="00C351C1" w:rsidP="00C351C1">
            <w:pPr>
              <w:jc w:val="left"/>
              <w:rPr>
                <w:rFonts w:cs="Arial"/>
                <w:b/>
                <w:sz w:val="14"/>
                <w:szCs w:val="16"/>
              </w:rPr>
            </w:pPr>
            <w:r>
              <w:rPr>
                <w:rFonts w:cs="Arial"/>
                <w:b/>
                <w:sz w:val="14"/>
                <w:szCs w:val="16"/>
              </w:rPr>
              <w:t>Level 2 (Major)</w:t>
            </w:r>
          </w:p>
        </w:tc>
        <w:tc>
          <w:tcPr>
            <w:tcW w:w="1350" w:type="dxa"/>
          </w:tcPr>
          <w:p w14:paraId="608E7FCD" w14:textId="3CB68EC1" w:rsidR="00C351C1" w:rsidRPr="00713767" w:rsidRDefault="00C351C1" w:rsidP="00C351C1">
            <w:pPr>
              <w:jc w:val="left"/>
              <w:rPr>
                <w:rFonts w:cs="Arial"/>
                <w:sz w:val="14"/>
                <w:szCs w:val="16"/>
              </w:rPr>
            </w:pPr>
            <w:r>
              <w:rPr>
                <w:rFonts w:cs="Arial"/>
                <w:sz w:val="14"/>
                <w:szCs w:val="16"/>
              </w:rPr>
              <w:t>Target Remedial Action Time</w:t>
            </w:r>
          </w:p>
        </w:tc>
        <w:tc>
          <w:tcPr>
            <w:tcW w:w="1171" w:type="dxa"/>
          </w:tcPr>
          <w:p w14:paraId="55C9D395" w14:textId="3922BAC5" w:rsidR="00C351C1" w:rsidRPr="00CE537D" w:rsidRDefault="00C351C1" w:rsidP="00C351C1">
            <w:pPr>
              <w:jc w:val="center"/>
              <w:rPr>
                <w:rFonts w:cs="Arial"/>
                <w:sz w:val="14"/>
                <w:szCs w:val="16"/>
              </w:rPr>
            </w:pPr>
            <w:r>
              <w:rPr>
                <w:rFonts w:cs="Arial"/>
                <w:sz w:val="14"/>
                <w:szCs w:val="16"/>
              </w:rPr>
              <w:t>99% Within 8 Hours *</w:t>
            </w:r>
          </w:p>
        </w:tc>
        <w:tc>
          <w:tcPr>
            <w:tcW w:w="1152" w:type="dxa"/>
          </w:tcPr>
          <w:p w14:paraId="3AC6DB7D" w14:textId="5585AA85" w:rsidR="00C351C1" w:rsidRPr="00CE537D" w:rsidRDefault="00C351C1" w:rsidP="00C351C1">
            <w:pPr>
              <w:jc w:val="center"/>
              <w:rPr>
                <w:rFonts w:cs="Arial"/>
                <w:sz w:val="14"/>
                <w:szCs w:val="16"/>
              </w:rPr>
            </w:pPr>
            <w:r>
              <w:rPr>
                <w:rFonts w:cs="Arial"/>
                <w:sz w:val="14"/>
                <w:szCs w:val="16"/>
              </w:rPr>
              <w:t>99% Within 4 Hours</w:t>
            </w:r>
          </w:p>
        </w:tc>
      </w:tr>
      <w:tr w:rsidR="00C351C1" w:rsidRPr="00BC665D" w14:paraId="3D200C3F" w14:textId="77777777" w:rsidTr="00C351C1">
        <w:trPr>
          <w:tblCellSpacing w:w="20" w:type="dxa"/>
        </w:trPr>
        <w:tc>
          <w:tcPr>
            <w:tcW w:w="926" w:type="dxa"/>
            <w:shd w:val="clear" w:color="auto" w:fill="A6A6A6" w:themeFill="background1" w:themeFillShade="A6"/>
          </w:tcPr>
          <w:p w14:paraId="7D730BCA" w14:textId="46920784" w:rsidR="00C351C1" w:rsidRPr="00CE537D" w:rsidRDefault="00C351C1" w:rsidP="00C351C1">
            <w:pPr>
              <w:jc w:val="left"/>
              <w:rPr>
                <w:rFonts w:cs="Arial"/>
                <w:b/>
                <w:sz w:val="14"/>
                <w:szCs w:val="16"/>
              </w:rPr>
            </w:pPr>
            <w:r>
              <w:rPr>
                <w:rFonts w:cs="Arial"/>
                <w:b/>
                <w:sz w:val="14"/>
                <w:szCs w:val="16"/>
              </w:rPr>
              <w:t>Level 3 (Standard)</w:t>
            </w:r>
          </w:p>
        </w:tc>
        <w:tc>
          <w:tcPr>
            <w:tcW w:w="1350" w:type="dxa"/>
            <w:shd w:val="clear" w:color="auto" w:fill="A6A6A6" w:themeFill="background1" w:themeFillShade="A6"/>
          </w:tcPr>
          <w:p w14:paraId="41984243" w14:textId="6CC8AC91" w:rsidR="00C351C1" w:rsidRPr="00713767" w:rsidRDefault="00C351C1" w:rsidP="00C351C1">
            <w:pPr>
              <w:jc w:val="left"/>
              <w:rPr>
                <w:rFonts w:cs="Arial"/>
                <w:sz w:val="14"/>
                <w:szCs w:val="16"/>
              </w:rPr>
            </w:pPr>
            <w:r>
              <w:rPr>
                <w:rFonts w:cs="Arial"/>
                <w:sz w:val="14"/>
                <w:szCs w:val="16"/>
              </w:rPr>
              <w:t>Initial Response</w:t>
            </w:r>
          </w:p>
        </w:tc>
        <w:tc>
          <w:tcPr>
            <w:tcW w:w="1171" w:type="dxa"/>
            <w:shd w:val="clear" w:color="auto" w:fill="A6A6A6" w:themeFill="background1" w:themeFillShade="A6"/>
          </w:tcPr>
          <w:p w14:paraId="0932E42D" w14:textId="7FE05E06" w:rsidR="00C351C1" w:rsidRPr="00CE537D" w:rsidRDefault="00C351C1" w:rsidP="00C351C1">
            <w:pPr>
              <w:jc w:val="center"/>
              <w:rPr>
                <w:rFonts w:cs="Arial"/>
                <w:sz w:val="14"/>
                <w:szCs w:val="16"/>
              </w:rPr>
            </w:pPr>
            <w:r>
              <w:rPr>
                <w:rFonts w:cs="Arial"/>
                <w:sz w:val="14"/>
                <w:szCs w:val="16"/>
              </w:rPr>
              <w:t>4 Hours *</w:t>
            </w:r>
          </w:p>
        </w:tc>
        <w:tc>
          <w:tcPr>
            <w:tcW w:w="1152" w:type="dxa"/>
            <w:shd w:val="clear" w:color="auto" w:fill="A6A6A6" w:themeFill="background1" w:themeFillShade="A6"/>
          </w:tcPr>
          <w:p w14:paraId="0068520A" w14:textId="5D841539" w:rsidR="00C351C1" w:rsidRPr="00CE537D" w:rsidRDefault="00C351C1" w:rsidP="00C351C1">
            <w:pPr>
              <w:jc w:val="center"/>
              <w:rPr>
                <w:rFonts w:cs="Arial"/>
                <w:sz w:val="14"/>
                <w:szCs w:val="16"/>
              </w:rPr>
            </w:pPr>
            <w:r>
              <w:rPr>
                <w:rFonts w:cs="Arial"/>
                <w:sz w:val="14"/>
                <w:szCs w:val="16"/>
              </w:rPr>
              <w:t>4 Hours *</w:t>
            </w:r>
          </w:p>
        </w:tc>
      </w:tr>
      <w:tr w:rsidR="00C351C1" w:rsidRPr="00BC665D" w14:paraId="30CEC9F6" w14:textId="77777777" w:rsidTr="00C351C1">
        <w:trPr>
          <w:tblCellSpacing w:w="20" w:type="dxa"/>
        </w:trPr>
        <w:tc>
          <w:tcPr>
            <w:tcW w:w="926" w:type="dxa"/>
          </w:tcPr>
          <w:p w14:paraId="118292B9" w14:textId="3DAA45D5" w:rsidR="00C351C1" w:rsidRPr="00CE537D" w:rsidRDefault="00C351C1" w:rsidP="00C351C1">
            <w:pPr>
              <w:jc w:val="left"/>
              <w:rPr>
                <w:rFonts w:cs="Arial"/>
                <w:b/>
                <w:sz w:val="14"/>
                <w:szCs w:val="16"/>
              </w:rPr>
            </w:pPr>
            <w:r>
              <w:rPr>
                <w:rFonts w:cs="Arial"/>
                <w:b/>
                <w:sz w:val="14"/>
                <w:szCs w:val="16"/>
              </w:rPr>
              <w:t>Level 3 (Standard)</w:t>
            </w:r>
          </w:p>
        </w:tc>
        <w:tc>
          <w:tcPr>
            <w:tcW w:w="1350" w:type="dxa"/>
          </w:tcPr>
          <w:p w14:paraId="59439028" w14:textId="69911502" w:rsidR="00C351C1" w:rsidRPr="00713767" w:rsidRDefault="00C351C1" w:rsidP="00C351C1">
            <w:pPr>
              <w:jc w:val="left"/>
              <w:rPr>
                <w:rFonts w:cs="Arial"/>
                <w:sz w:val="14"/>
                <w:szCs w:val="16"/>
              </w:rPr>
            </w:pPr>
            <w:r>
              <w:rPr>
                <w:rFonts w:cs="Arial"/>
                <w:sz w:val="14"/>
                <w:szCs w:val="16"/>
              </w:rPr>
              <w:t>Target Remedial Action Time</w:t>
            </w:r>
          </w:p>
        </w:tc>
        <w:tc>
          <w:tcPr>
            <w:tcW w:w="1171" w:type="dxa"/>
          </w:tcPr>
          <w:p w14:paraId="0FFE3D47" w14:textId="06680DB5" w:rsidR="00C351C1" w:rsidRPr="00CE537D" w:rsidRDefault="00C351C1" w:rsidP="00C351C1">
            <w:pPr>
              <w:jc w:val="center"/>
              <w:rPr>
                <w:rFonts w:cs="Arial"/>
                <w:sz w:val="14"/>
                <w:szCs w:val="16"/>
              </w:rPr>
            </w:pPr>
            <w:r>
              <w:rPr>
                <w:rFonts w:cs="Arial"/>
                <w:sz w:val="14"/>
                <w:szCs w:val="16"/>
              </w:rPr>
              <w:t>99% Within Next Working Day *</w:t>
            </w:r>
          </w:p>
        </w:tc>
        <w:tc>
          <w:tcPr>
            <w:tcW w:w="1152" w:type="dxa"/>
          </w:tcPr>
          <w:p w14:paraId="2781921A" w14:textId="0255B66D" w:rsidR="00C351C1" w:rsidRPr="00CE537D" w:rsidRDefault="00C351C1" w:rsidP="00C351C1">
            <w:pPr>
              <w:jc w:val="center"/>
              <w:rPr>
                <w:rFonts w:cs="Arial"/>
                <w:sz w:val="14"/>
                <w:szCs w:val="16"/>
              </w:rPr>
            </w:pPr>
            <w:r>
              <w:rPr>
                <w:rFonts w:cs="Arial"/>
                <w:sz w:val="14"/>
                <w:szCs w:val="16"/>
              </w:rPr>
              <w:t>99% Within 8 Hours *</w:t>
            </w:r>
          </w:p>
        </w:tc>
      </w:tr>
    </w:tbl>
    <w:p w14:paraId="37FFFC81" w14:textId="4BF41C95" w:rsidR="002D3875" w:rsidRPr="00C351C1" w:rsidRDefault="002D3875" w:rsidP="00C11B76"/>
    <w:p w14:paraId="17788D30" w14:textId="4DD9CFA6" w:rsidR="00C11B76" w:rsidRDefault="00C11B76" w:rsidP="00C11B76">
      <w:pPr>
        <w:rPr>
          <w:i/>
        </w:rPr>
      </w:pPr>
      <w:r w:rsidRPr="008C3700">
        <w:rPr>
          <w:i/>
        </w:rPr>
        <w:t xml:space="preserve">* These times are only measured during </w:t>
      </w:r>
      <w:r w:rsidR="00D33E41">
        <w:rPr>
          <w:i/>
        </w:rPr>
        <w:t>Business Hours</w:t>
      </w:r>
      <w:r w:rsidRPr="008C3700">
        <w:rPr>
          <w:i/>
        </w:rPr>
        <w:t xml:space="preserve">, </w:t>
      </w:r>
      <w:r>
        <w:rPr>
          <w:i/>
        </w:rPr>
        <w:t>Node4</w:t>
      </w:r>
      <w:r w:rsidRPr="008C3700">
        <w:rPr>
          <w:i/>
        </w:rPr>
        <w:t xml:space="preserve"> has no obligation to provide support outside of </w:t>
      </w:r>
      <w:r w:rsidR="00D33E41">
        <w:rPr>
          <w:i/>
        </w:rPr>
        <w:t>Business Hours</w:t>
      </w:r>
      <w:r w:rsidRPr="008C3700">
        <w:rPr>
          <w:i/>
        </w:rPr>
        <w:t>.</w:t>
      </w:r>
    </w:p>
    <w:p w14:paraId="4425BF67" w14:textId="13EFF48E" w:rsidR="00504EA7" w:rsidRPr="00504EA7" w:rsidRDefault="00FA6AC4" w:rsidP="00C351C1">
      <w:pPr>
        <w:pStyle w:val="Heading3"/>
      </w:pPr>
      <w:r>
        <w:t>Customer r</w:t>
      </w:r>
      <w:r w:rsidR="00504EA7" w:rsidRPr="00504EA7">
        <w:t xml:space="preserve">equest </w:t>
      </w:r>
      <w:r>
        <w:t>t</w:t>
      </w:r>
      <w:r w:rsidR="00504EA7" w:rsidRPr="00504EA7">
        <w:t>icket</w:t>
      </w:r>
    </w:p>
    <w:p w14:paraId="06DAD9C8" w14:textId="61D127E9" w:rsidR="00C31225" w:rsidRDefault="00C11B76" w:rsidP="00C11B76">
      <w:r>
        <w:t xml:space="preserve">Node4 shall respond to all </w:t>
      </w:r>
      <w:r w:rsidR="002C2A91">
        <w:t xml:space="preserve">Customer Request </w:t>
      </w:r>
      <w:r>
        <w:t>Tickets with</w:t>
      </w:r>
      <w:r w:rsidR="00082A44">
        <w:t>in</w:t>
      </w:r>
      <w:r>
        <w:t xml:space="preserve"> the</w:t>
      </w:r>
      <w:r w:rsidR="00082A44" w:rsidRPr="00595B74">
        <w:t xml:space="preserve"> length of time, commencing immediately following </w:t>
      </w:r>
      <w:r w:rsidR="00082A44">
        <w:t>the Initial Response, by which Node4</w:t>
      </w:r>
      <w:r w:rsidR="00082A44" w:rsidRPr="00595B74">
        <w:t xml:space="preserve"> shall make reasonable endeavours to </w:t>
      </w:r>
      <w:r w:rsidR="00082A44">
        <w:t xml:space="preserve">complete the </w:t>
      </w:r>
      <w:r w:rsidR="005C520F">
        <w:t>Customer Request tickets</w:t>
      </w:r>
      <w:r w:rsidR="00082A44" w:rsidRPr="00595B74">
        <w:t xml:space="preserve"> </w:t>
      </w:r>
      <w:r w:rsidR="00082A44">
        <w:t>as</w:t>
      </w:r>
      <w:r>
        <w:t xml:space="preserve"> specified in the table s</w:t>
      </w:r>
      <w:r w:rsidR="00C351C1">
        <w:t>et out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893"/>
        <w:gridCol w:w="1252"/>
        <w:gridCol w:w="1327"/>
        <w:gridCol w:w="1327"/>
      </w:tblGrid>
      <w:tr w:rsidR="00C351C1" w:rsidRPr="00BC665D" w14:paraId="4A0C0D5F" w14:textId="77777777" w:rsidTr="00C351C1">
        <w:trPr>
          <w:trHeight w:val="481"/>
          <w:tblCellSpacing w:w="20" w:type="dxa"/>
        </w:trPr>
        <w:tc>
          <w:tcPr>
            <w:tcW w:w="833" w:type="dxa"/>
            <w:vMerge w:val="restart"/>
            <w:shd w:val="clear" w:color="auto" w:fill="000000" w:themeFill="text1"/>
            <w:vAlign w:val="bottom"/>
          </w:tcPr>
          <w:p w14:paraId="55295EBE" w14:textId="77777777" w:rsidR="00C351C1" w:rsidRPr="00713767" w:rsidRDefault="00C351C1" w:rsidP="00AD2F36">
            <w:pPr>
              <w:jc w:val="center"/>
              <w:rPr>
                <w:rFonts w:cs="Arial"/>
                <w:b/>
                <w:color w:val="FFFFFF"/>
                <w:sz w:val="14"/>
                <w:szCs w:val="16"/>
              </w:rPr>
            </w:pPr>
            <w:r>
              <w:rPr>
                <w:rFonts w:cs="Arial"/>
                <w:b/>
                <w:color w:val="FFFFFF"/>
                <w:sz w:val="14"/>
                <w:szCs w:val="16"/>
              </w:rPr>
              <w:t>Severity Level</w:t>
            </w:r>
          </w:p>
        </w:tc>
        <w:tc>
          <w:tcPr>
            <w:tcW w:w="1212" w:type="dxa"/>
            <w:vMerge w:val="restart"/>
            <w:shd w:val="clear" w:color="auto" w:fill="000000" w:themeFill="text1"/>
            <w:vAlign w:val="center"/>
          </w:tcPr>
          <w:p w14:paraId="2F248AB2" w14:textId="77777777" w:rsidR="00C351C1" w:rsidRPr="00713767" w:rsidRDefault="00C351C1" w:rsidP="00AD2F36">
            <w:pPr>
              <w:jc w:val="center"/>
              <w:rPr>
                <w:rFonts w:cs="Arial"/>
                <w:b/>
                <w:color w:val="FFFFFF"/>
                <w:sz w:val="14"/>
                <w:szCs w:val="16"/>
              </w:rPr>
            </w:pPr>
          </w:p>
        </w:tc>
        <w:tc>
          <w:tcPr>
            <w:tcW w:w="2594" w:type="dxa"/>
            <w:gridSpan w:val="2"/>
            <w:shd w:val="clear" w:color="auto" w:fill="000000" w:themeFill="text1"/>
            <w:vAlign w:val="bottom"/>
          </w:tcPr>
          <w:p w14:paraId="27E9A92E" w14:textId="72B552FB" w:rsidR="00C351C1" w:rsidRDefault="00C351C1" w:rsidP="00AD2F36">
            <w:pPr>
              <w:jc w:val="center"/>
              <w:rPr>
                <w:rFonts w:cs="Arial"/>
                <w:b/>
                <w:color w:val="FFFFFF"/>
                <w:sz w:val="14"/>
                <w:szCs w:val="16"/>
              </w:rPr>
            </w:pPr>
            <w:r>
              <w:rPr>
                <w:rFonts w:cs="Arial"/>
                <w:b/>
                <w:color w:val="FFFFFF"/>
                <w:sz w:val="14"/>
                <w:szCs w:val="16"/>
              </w:rPr>
              <w:t>Support Levels</w:t>
            </w:r>
          </w:p>
        </w:tc>
      </w:tr>
      <w:tr w:rsidR="00C351C1" w:rsidRPr="00BC665D" w14:paraId="154D0E3C" w14:textId="77777777" w:rsidTr="00C351C1">
        <w:trPr>
          <w:trHeight w:val="459"/>
          <w:tblCellSpacing w:w="20" w:type="dxa"/>
        </w:trPr>
        <w:tc>
          <w:tcPr>
            <w:tcW w:w="833" w:type="dxa"/>
            <w:vMerge/>
            <w:shd w:val="clear" w:color="auto" w:fill="000000" w:themeFill="text1"/>
            <w:vAlign w:val="bottom"/>
          </w:tcPr>
          <w:p w14:paraId="4B69D02D" w14:textId="77777777" w:rsidR="00C351C1" w:rsidRPr="00713767" w:rsidRDefault="00C351C1" w:rsidP="00AD2F36">
            <w:pPr>
              <w:jc w:val="center"/>
              <w:rPr>
                <w:rFonts w:cs="Arial"/>
                <w:b/>
                <w:color w:val="FFFFFF"/>
                <w:sz w:val="14"/>
                <w:szCs w:val="16"/>
              </w:rPr>
            </w:pPr>
          </w:p>
        </w:tc>
        <w:tc>
          <w:tcPr>
            <w:tcW w:w="1212" w:type="dxa"/>
            <w:vMerge/>
            <w:shd w:val="clear" w:color="auto" w:fill="000000" w:themeFill="text1"/>
            <w:vAlign w:val="center"/>
          </w:tcPr>
          <w:p w14:paraId="35641FF2" w14:textId="77777777" w:rsidR="00C351C1" w:rsidRPr="00713767" w:rsidRDefault="00C351C1" w:rsidP="00AD2F36">
            <w:pPr>
              <w:jc w:val="center"/>
              <w:rPr>
                <w:rFonts w:cs="Arial"/>
                <w:b/>
                <w:color w:val="FFFFFF"/>
                <w:sz w:val="14"/>
                <w:szCs w:val="16"/>
              </w:rPr>
            </w:pPr>
          </w:p>
        </w:tc>
        <w:tc>
          <w:tcPr>
            <w:tcW w:w="1287" w:type="dxa"/>
            <w:shd w:val="clear" w:color="auto" w:fill="000000" w:themeFill="text1"/>
            <w:vAlign w:val="center"/>
          </w:tcPr>
          <w:p w14:paraId="5D2A5955" w14:textId="77777777" w:rsidR="00C351C1" w:rsidRDefault="00C351C1" w:rsidP="00AD2F36">
            <w:pPr>
              <w:jc w:val="center"/>
              <w:rPr>
                <w:rFonts w:cs="Arial"/>
                <w:b/>
                <w:color w:val="FFFFFF"/>
                <w:sz w:val="14"/>
                <w:szCs w:val="16"/>
              </w:rPr>
            </w:pPr>
            <w:r>
              <w:rPr>
                <w:rFonts w:cs="Arial"/>
                <w:b/>
                <w:color w:val="FFFFFF"/>
                <w:sz w:val="14"/>
                <w:szCs w:val="16"/>
              </w:rPr>
              <w:t>Access Knowledge</w:t>
            </w:r>
          </w:p>
        </w:tc>
        <w:tc>
          <w:tcPr>
            <w:tcW w:w="1267" w:type="dxa"/>
            <w:shd w:val="clear" w:color="auto" w:fill="000000" w:themeFill="text1"/>
            <w:vAlign w:val="center"/>
          </w:tcPr>
          <w:p w14:paraId="3CB20A97" w14:textId="77777777" w:rsidR="00C351C1" w:rsidRDefault="00C351C1" w:rsidP="00AD2F36">
            <w:pPr>
              <w:jc w:val="center"/>
              <w:rPr>
                <w:rFonts w:cs="Arial"/>
                <w:b/>
                <w:color w:val="FFFFFF"/>
                <w:sz w:val="14"/>
                <w:szCs w:val="16"/>
              </w:rPr>
            </w:pPr>
            <w:r>
              <w:rPr>
                <w:rFonts w:cs="Arial"/>
                <w:b/>
                <w:color w:val="FFFFFF"/>
                <w:sz w:val="14"/>
                <w:szCs w:val="16"/>
              </w:rPr>
              <w:t>Managed</w:t>
            </w:r>
          </w:p>
        </w:tc>
      </w:tr>
      <w:tr w:rsidR="00C351C1" w:rsidRPr="00BC665D" w14:paraId="54B5CCDA" w14:textId="77777777" w:rsidTr="00C351C1">
        <w:trPr>
          <w:tblCellSpacing w:w="20" w:type="dxa"/>
        </w:trPr>
        <w:tc>
          <w:tcPr>
            <w:tcW w:w="833" w:type="dxa"/>
            <w:shd w:val="clear" w:color="auto" w:fill="A6A6A6" w:themeFill="background1" w:themeFillShade="A6"/>
          </w:tcPr>
          <w:p w14:paraId="4827E34C" w14:textId="5FD22115" w:rsidR="00C351C1" w:rsidRPr="00713767" w:rsidRDefault="00C351C1" w:rsidP="00AD2F36">
            <w:pPr>
              <w:jc w:val="left"/>
              <w:rPr>
                <w:rFonts w:cs="Arial"/>
                <w:b/>
                <w:sz w:val="14"/>
                <w:szCs w:val="16"/>
              </w:rPr>
            </w:pPr>
            <w:r>
              <w:rPr>
                <w:rFonts w:cs="Arial"/>
                <w:b/>
                <w:sz w:val="14"/>
                <w:szCs w:val="16"/>
              </w:rPr>
              <w:t>Standard Request</w:t>
            </w:r>
          </w:p>
        </w:tc>
        <w:tc>
          <w:tcPr>
            <w:tcW w:w="1212" w:type="dxa"/>
            <w:shd w:val="clear" w:color="auto" w:fill="A6A6A6" w:themeFill="background1" w:themeFillShade="A6"/>
          </w:tcPr>
          <w:p w14:paraId="3D47A9BC" w14:textId="13EF7249" w:rsidR="00C351C1" w:rsidRPr="00713767" w:rsidRDefault="00C351C1" w:rsidP="00AD2F36">
            <w:pPr>
              <w:jc w:val="left"/>
              <w:rPr>
                <w:rFonts w:cs="Arial"/>
                <w:sz w:val="14"/>
                <w:szCs w:val="16"/>
              </w:rPr>
            </w:pPr>
            <w:r>
              <w:rPr>
                <w:rFonts w:cs="Arial"/>
                <w:sz w:val="14"/>
                <w:szCs w:val="16"/>
              </w:rPr>
              <w:t>Target Fulfilment Time</w:t>
            </w:r>
          </w:p>
        </w:tc>
        <w:tc>
          <w:tcPr>
            <w:tcW w:w="1287" w:type="dxa"/>
            <w:shd w:val="clear" w:color="auto" w:fill="A6A6A6" w:themeFill="background1" w:themeFillShade="A6"/>
          </w:tcPr>
          <w:p w14:paraId="014763F2" w14:textId="477D7518" w:rsidR="00C351C1" w:rsidRPr="00CE537D" w:rsidRDefault="00C351C1" w:rsidP="00AD2F36">
            <w:pPr>
              <w:jc w:val="center"/>
              <w:rPr>
                <w:rFonts w:cs="Arial"/>
                <w:sz w:val="14"/>
                <w:szCs w:val="16"/>
              </w:rPr>
            </w:pPr>
            <w:r>
              <w:rPr>
                <w:rFonts w:cs="Arial"/>
                <w:sz w:val="14"/>
                <w:szCs w:val="16"/>
              </w:rPr>
              <w:t>2 Business Days</w:t>
            </w:r>
          </w:p>
        </w:tc>
        <w:tc>
          <w:tcPr>
            <w:tcW w:w="1267" w:type="dxa"/>
            <w:shd w:val="clear" w:color="auto" w:fill="A6A6A6" w:themeFill="background1" w:themeFillShade="A6"/>
          </w:tcPr>
          <w:p w14:paraId="2AD1FBCE" w14:textId="40953721" w:rsidR="00C351C1" w:rsidRPr="00CE537D" w:rsidRDefault="00C351C1" w:rsidP="00AD2F36">
            <w:pPr>
              <w:jc w:val="center"/>
              <w:rPr>
                <w:rFonts w:cs="Arial"/>
                <w:sz w:val="14"/>
                <w:szCs w:val="16"/>
              </w:rPr>
            </w:pPr>
            <w:r>
              <w:rPr>
                <w:rFonts w:cs="Arial"/>
                <w:sz w:val="14"/>
                <w:szCs w:val="16"/>
              </w:rPr>
              <w:t>Next Business Day</w:t>
            </w:r>
          </w:p>
        </w:tc>
      </w:tr>
      <w:tr w:rsidR="00C351C1" w:rsidRPr="00BC665D" w14:paraId="3D45E6B3" w14:textId="77777777" w:rsidTr="00C351C1">
        <w:trPr>
          <w:tblCellSpacing w:w="20" w:type="dxa"/>
        </w:trPr>
        <w:tc>
          <w:tcPr>
            <w:tcW w:w="833" w:type="dxa"/>
          </w:tcPr>
          <w:p w14:paraId="5D80A351" w14:textId="24479CFD" w:rsidR="00C351C1" w:rsidRPr="00713767" w:rsidRDefault="00C351C1" w:rsidP="00AD2F36">
            <w:pPr>
              <w:jc w:val="left"/>
              <w:rPr>
                <w:rFonts w:cs="Arial"/>
                <w:b/>
                <w:sz w:val="14"/>
                <w:szCs w:val="16"/>
              </w:rPr>
            </w:pPr>
            <w:r>
              <w:rPr>
                <w:rFonts w:cs="Arial"/>
                <w:b/>
                <w:sz w:val="14"/>
                <w:szCs w:val="16"/>
              </w:rPr>
              <w:t>Major Request</w:t>
            </w:r>
          </w:p>
        </w:tc>
        <w:tc>
          <w:tcPr>
            <w:tcW w:w="1212" w:type="dxa"/>
          </w:tcPr>
          <w:p w14:paraId="2B0653F6" w14:textId="2528D667" w:rsidR="00C351C1" w:rsidRPr="00713767" w:rsidRDefault="00C351C1" w:rsidP="00AD2F36">
            <w:pPr>
              <w:jc w:val="left"/>
              <w:rPr>
                <w:rFonts w:cs="Arial"/>
                <w:sz w:val="14"/>
                <w:szCs w:val="16"/>
              </w:rPr>
            </w:pPr>
            <w:r>
              <w:rPr>
                <w:rFonts w:cs="Arial"/>
                <w:sz w:val="14"/>
                <w:szCs w:val="16"/>
              </w:rPr>
              <w:t>Target Fulfilment Time</w:t>
            </w:r>
          </w:p>
        </w:tc>
        <w:tc>
          <w:tcPr>
            <w:tcW w:w="1287" w:type="dxa"/>
          </w:tcPr>
          <w:p w14:paraId="2CCFCFAC" w14:textId="06EEEC33" w:rsidR="00C351C1" w:rsidRPr="00CE537D" w:rsidRDefault="00C351C1" w:rsidP="00AD2F36">
            <w:pPr>
              <w:jc w:val="center"/>
              <w:rPr>
                <w:rFonts w:cs="Arial"/>
                <w:sz w:val="14"/>
                <w:szCs w:val="16"/>
              </w:rPr>
            </w:pPr>
            <w:r>
              <w:rPr>
                <w:rFonts w:cs="Arial"/>
                <w:sz w:val="14"/>
                <w:szCs w:val="16"/>
              </w:rPr>
              <w:t>Next Customer Change Window</w:t>
            </w:r>
          </w:p>
        </w:tc>
        <w:tc>
          <w:tcPr>
            <w:tcW w:w="1267" w:type="dxa"/>
          </w:tcPr>
          <w:p w14:paraId="3B5EC204" w14:textId="13CCEE26" w:rsidR="00C351C1" w:rsidRPr="00CE537D" w:rsidRDefault="00C351C1" w:rsidP="00AD2F36">
            <w:pPr>
              <w:jc w:val="center"/>
              <w:rPr>
                <w:rFonts w:cs="Arial"/>
                <w:sz w:val="14"/>
                <w:szCs w:val="16"/>
              </w:rPr>
            </w:pPr>
            <w:r>
              <w:rPr>
                <w:rFonts w:cs="Arial"/>
                <w:sz w:val="14"/>
                <w:szCs w:val="16"/>
              </w:rPr>
              <w:t>Next Customer Change Window</w:t>
            </w:r>
          </w:p>
        </w:tc>
      </w:tr>
    </w:tbl>
    <w:p w14:paraId="53C72FB7" w14:textId="32815C25" w:rsidR="00C11B76" w:rsidRDefault="00C11B76" w:rsidP="00C11B76"/>
    <w:p w14:paraId="462CD9B2" w14:textId="6878BD93" w:rsidR="00504EA7" w:rsidRPr="00504EA7" w:rsidRDefault="00504EA7" w:rsidP="00CE393B">
      <w:pPr>
        <w:pStyle w:val="Heading2"/>
      </w:pPr>
      <w:r w:rsidRPr="00CE393B">
        <w:t>S</w:t>
      </w:r>
      <w:r w:rsidR="00C351C1" w:rsidRPr="00CE393B">
        <w:t>ervice</w:t>
      </w:r>
      <w:r w:rsidR="00FA6AC4">
        <w:t xml:space="preserve"> c</w:t>
      </w:r>
      <w:r w:rsidR="00C351C1" w:rsidRPr="00504EA7">
        <w:t>redits</w:t>
      </w:r>
    </w:p>
    <w:p w14:paraId="4C1A229F" w14:textId="0B55E879" w:rsidR="002C2BCC" w:rsidRDefault="00B644C8" w:rsidP="002C2BCC">
      <w:pPr>
        <w:rPr>
          <w:rFonts w:cs="Helvetica-Narrow"/>
          <w:color w:val="auto"/>
        </w:rPr>
      </w:pPr>
      <w:r w:rsidRPr="002C2BCC">
        <w:rPr>
          <w:rFonts w:cs="Helvetica-Narrow"/>
          <w:color w:val="auto"/>
        </w:rPr>
        <w:t>Node4 will provide the Customer with Service Credits, as set out below, for the failure to meet the following targets:</w:t>
      </w:r>
      <w:r w:rsidR="0024593F" w:rsidRPr="002C2BCC" w:rsidDel="0024593F">
        <w:rPr>
          <w:rFonts w:cs="Helvetica-Narrow"/>
          <w:color w:val="auto"/>
        </w:rPr>
        <w:t xml:space="preserve"> </w:t>
      </w:r>
    </w:p>
    <w:p w14:paraId="21AEFB9D" w14:textId="5CA4704C" w:rsidR="002C2BCC" w:rsidRPr="00504EA7" w:rsidRDefault="00FA6AC4" w:rsidP="00C351C1">
      <w:pPr>
        <w:pStyle w:val="Heading3"/>
      </w:pPr>
      <w:r>
        <w:t>Availability o</w:t>
      </w:r>
      <w:r w:rsidR="00504EA7" w:rsidRPr="00504EA7">
        <w:t>utcome</w:t>
      </w:r>
    </w:p>
    <w:p w14:paraId="4445393A" w14:textId="07D0AA5C" w:rsidR="002C2BCC" w:rsidRDefault="002C2BCC" w:rsidP="00914B51">
      <w:r w:rsidRPr="002C2BCC">
        <w:t>If an availability outcome is stated in the Order Form and unless specified otherwise the Service Outcome will be based on the below targets set out in the below table:</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3382"/>
        <w:gridCol w:w="1417"/>
      </w:tblGrid>
      <w:tr w:rsidR="00C351C1" w:rsidRPr="00BC665D" w14:paraId="72A941F9" w14:textId="77777777" w:rsidTr="00C351C1">
        <w:trPr>
          <w:trHeight w:val="631"/>
          <w:tblCellSpacing w:w="20" w:type="dxa"/>
        </w:trPr>
        <w:tc>
          <w:tcPr>
            <w:tcW w:w="3322" w:type="dxa"/>
            <w:shd w:val="clear" w:color="auto" w:fill="000000" w:themeFill="text1"/>
            <w:vAlign w:val="bottom"/>
          </w:tcPr>
          <w:p w14:paraId="6905AE75" w14:textId="15256D92" w:rsidR="00C351C1" w:rsidRPr="00713767" w:rsidRDefault="00C351C1" w:rsidP="00C351C1">
            <w:pPr>
              <w:jc w:val="left"/>
              <w:rPr>
                <w:rFonts w:cs="Arial"/>
                <w:b/>
                <w:color w:val="FFFFFF"/>
                <w:sz w:val="14"/>
                <w:szCs w:val="16"/>
              </w:rPr>
            </w:pPr>
            <w:r>
              <w:rPr>
                <w:rFonts w:cs="Arial"/>
                <w:b/>
                <w:color w:val="FFFFFF"/>
                <w:sz w:val="14"/>
                <w:szCs w:val="16"/>
              </w:rPr>
              <w:lastRenderedPageBreak/>
              <w:t>Deployment Architecture</w:t>
            </w:r>
          </w:p>
        </w:tc>
        <w:tc>
          <w:tcPr>
            <w:tcW w:w="1357" w:type="dxa"/>
            <w:shd w:val="clear" w:color="auto" w:fill="000000" w:themeFill="text1"/>
            <w:vAlign w:val="center"/>
          </w:tcPr>
          <w:p w14:paraId="1A02A60F" w14:textId="7ECEA286" w:rsidR="00C351C1" w:rsidRPr="00713767" w:rsidRDefault="00C351C1" w:rsidP="00AD2F36">
            <w:pPr>
              <w:jc w:val="center"/>
              <w:rPr>
                <w:rFonts w:cs="Arial"/>
                <w:b/>
                <w:color w:val="FFFFFF"/>
                <w:sz w:val="14"/>
                <w:szCs w:val="16"/>
              </w:rPr>
            </w:pPr>
            <w:r>
              <w:rPr>
                <w:rFonts w:cs="Arial"/>
                <w:b/>
                <w:color w:val="FFFFFF"/>
                <w:sz w:val="14"/>
                <w:szCs w:val="16"/>
              </w:rPr>
              <w:t>Availability</w:t>
            </w:r>
          </w:p>
        </w:tc>
      </w:tr>
      <w:tr w:rsidR="00C351C1" w:rsidRPr="00BC665D" w14:paraId="136E84D9" w14:textId="77777777" w:rsidTr="00C351C1">
        <w:trPr>
          <w:tblCellSpacing w:w="20" w:type="dxa"/>
        </w:trPr>
        <w:tc>
          <w:tcPr>
            <w:tcW w:w="3322" w:type="dxa"/>
            <w:shd w:val="clear" w:color="auto" w:fill="A6A6A6" w:themeFill="background1" w:themeFillShade="A6"/>
          </w:tcPr>
          <w:p w14:paraId="6254D3F5" w14:textId="2265EFB3" w:rsidR="00C351C1" w:rsidRPr="00713767" w:rsidRDefault="00C351C1" w:rsidP="00AD2F36">
            <w:pPr>
              <w:jc w:val="left"/>
              <w:rPr>
                <w:rFonts w:cs="Arial"/>
                <w:b/>
                <w:sz w:val="14"/>
                <w:szCs w:val="16"/>
              </w:rPr>
            </w:pPr>
            <w:r w:rsidRPr="00C351C1">
              <w:rPr>
                <w:rFonts w:cs="Arial"/>
                <w:b/>
                <w:sz w:val="14"/>
                <w:szCs w:val="16"/>
              </w:rPr>
              <w:t>Single Active Database</w:t>
            </w:r>
          </w:p>
        </w:tc>
        <w:tc>
          <w:tcPr>
            <w:tcW w:w="1357" w:type="dxa"/>
            <w:shd w:val="clear" w:color="auto" w:fill="A6A6A6" w:themeFill="background1" w:themeFillShade="A6"/>
          </w:tcPr>
          <w:p w14:paraId="7E8D7280" w14:textId="08914DF0" w:rsidR="00C351C1" w:rsidRPr="00713767" w:rsidRDefault="00C351C1" w:rsidP="00C351C1">
            <w:pPr>
              <w:jc w:val="center"/>
              <w:rPr>
                <w:rFonts w:cs="Arial"/>
                <w:sz w:val="14"/>
                <w:szCs w:val="16"/>
              </w:rPr>
            </w:pPr>
            <w:r>
              <w:rPr>
                <w:rFonts w:cs="Arial"/>
                <w:sz w:val="14"/>
                <w:szCs w:val="16"/>
              </w:rPr>
              <w:t>99%</w:t>
            </w:r>
          </w:p>
        </w:tc>
      </w:tr>
      <w:tr w:rsidR="00C351C1" w:rsidRPr="00BC665D" w14:paraId="2CA1F02E" w14:textId="77777777" w:rsidTr="00C351C1">
        <w:trPr>
          <w:tblCellSpacing w:w="20" w:type="dxa"/>
        </w:trPr>
        <w:tc>
          <w:tcPr>
            <w:tcW w:w="3322" w:type="dxa"/>
          </w:tcPr>
          <w:p w14:paraId="11EB457D" w14:textId="65FCCD0F" w:rsidR="00C351C1" w:rsidRPr="00713767" w:rsidRDefault="00C351C1" w:rsidP="00AD2F36">
            <w:pPr>
              <w:jc w:val="left"/>
              <w:rPr>
                <w:rFonts w:cs="Arial"/>
                <w:b/>
                <w:sz w:val="14"/>
                <w:szCs w:val="16"/>
              </w:rPr>
            </w:pPr>
            <w:r w:rsidRPr="00C351C1">
              <w:rPr>
                <w:rFonts w:cs="Arial"/>
                <w:b/>
                <w:sz w:val="14"/>
                <w:szCs w:val="16"/>
              </w:rPr>
              <w:t>Active / Passive Cluster</w:t>
            </w:r>
          </w:p>
        </w:tc>
        <w:tc>
          <w:tcPr>
            <w:tcW w:w="1357" w:type="dxa"/>
          </w:tcPr>
          <w:p w14:paraId="77A91545" w14:textId="496798A6" w:rsidR="00C351C1" w:rsidRPr="00713767" w:rsidRDefault="00C351C1" w:rsidP="00C351C1">
            <w:pPr>
              <w:jc w:val="center"/>
              <w:rPr>
                <w:rFonts w:cs="Arial"/>
                <w:sz w:val="14"/>
                <w:szCs w:val="16"/>
              </w:rPr>
            </w:pPr>
            <w:r>
              <w:rPr>
                <w:rFonts w:cs="Arial"/>
                <w:sz w:val="14"/>
                <w:szCs w:val="16"/>
              </w:rPr>
              <w:t>99.9%</w:t>
            </w:r>
          </w:p>
        </w:tc>
      </w:tr>
      <w:tr w:rsidR="00C351C1" w:rsidRPr="00BC665D" w14:paraId="7F1E1C99" w14:textId="77777777" w:rsidTr="00C351C1">
        <w:trPr>
          <w:tblCellSpacing w:w="20" w:type="dxa"/>
        </w:trPr>
        <w:tc>
          <w:tcPr>
            <w:tcW w:w="3322" w:type="dxa"/>
            <w:shd w:val="clear" w:color="auto" w:fill="A6A6A6" w:themeFill="background1" w:themeFillShade="A6"/>
          </w:tcPr>
          <w:p w14:paraId="586F88AE" w14:textId="40DA0F7F" w:rsidR="00C351C1" w:rsidRPr="00713767" w:rsidRDefault="00C351C1" w:rsidP="00C351C1">
            <w:pPr>
              <w:jc w:val="left"/>
              <w:rPr>
                <w:rFonts w:cs="Arial"/>
                <w:b/>
                <w:sz w:val="14"/>
                <w:szCs w:val="16"/>
              </w:rPr>
            </w:pPr>
            <w:r w:rsidRPr="00C351C1">
              <w:rPr>
                <w:rFonts w:cs="Arial"/>
                <w:b/>
                <w:sz w:val="14"/>
                <w:szCs w:val="16"/>
              </w:rPr>
              <w:t>Active</w:t>
            </w:r>
            <w:r>
              <w:rPr>
                <w:rFonts w:cs="Arial"/>
                <w:b/>
                <w:sz w:val="14"/>
                <w:szCs w:val="16"/>
              </w:rPr>
              <w:t xml:space="preserve"> </w:t>
            </w:r>
            <w:r w:rsidRPr="00C351C1">
              <w:rPr>
                <w:rFonts w:cs="Arial"/>
                <w:b/>
                <w:sz w:val="14"/>
                <w:szCs w:val="16"/>
              </w:rPr>
              <w:t>/ Passive DR (Second Site)</w:t>
            </w:r>
          </w:p>
        </w:tc>
        <w:tc>
          <w:tcPr>
            <w:tcW w:w="1357" w:type="dxa"/>
            <w:shd w:val="clear" w:color="auto" w:fill="A6A6A6" w:themeFill="background1" w:themeFillShade="A6"/>
          </w:tcPr>
          <w:p w14:paraId="49DB5A25" w14:textId="2657F571" w:rsidR="00C351C1" w:rsidRDefault="00C351C1" w:rsidP="00C351C1">
            <w:pPr>
              <w:jc w:val="center"/>
              <w:rPr>
                <w:rFonts w:cs="Arial"/>
                <w:sz w:val="14"/>
                <w:szCs w:val="16"/>
              </w:rPr>
            </w:pPr>
            <w:r>
              <w:rPr>
                <w:rFonts w:cs="Arial"/>
                <w:sz w:val="14"/>
                <w:szCs w:val="16"/>
              </w:rPr>
              <w:t>99.95%</w:t>
            </w:r>
          </w:p>
        </w:tc>
      </w:tr>
    </w:tbl>
    <w:p w14:paraId="124887C0" w14:textId="59C2DCB5" w:rsidR="002C2BCC" w:rsidRDefault="002C2BCC" w:rsidP="00A239F8">
      <w:pPr>
        <w:rPr>
          <w:color w:val="auto"/>
        </w:rPr>
      </w:pPr>
    </w:p>
    <w:p w14:paraId="1074BB92" w14:textId="6C8ABA25" w:rsidR="002C2BCC" w:rsidRDefault="002C2BCC" w:rsidP="002C2BCC">
      <w:r>
        <w:t>The Service is “Unavailable” when all users, including any test system used by the Node4 Customer Service Desk cannot access the Supported Software due to a fault with the Supported Software. The time for which the Supported Software is Unavailable is measured from when such an issue has been reported and a Ticket ID has been registered with Node4, until Node4 has corrected the problem and closed the related Ticket. Node4 is responsible for reporting to the Customer when the problem has been corrected.</w:t>
      </w:r>
    </w:p>
    <w:p w14:paraId="694C908D" w14:textId="4B9C9551" w:rsidR="002C2BCC" w:rsidRDefault="002C2BCC" w:rsidP="002C2BCC">
      <w:r>
        <w:t xml:space="preserve">Unless otherwise stated in the </w:t>
      </w:r>
      <w:r w:rsidR="003F3D79">
        <w:t>Order Form</w:t>
      </w:r>
      <w:r>
        <w:t>, Service Outcome targets are measured over a One (1) month period</w:t>
      </w:r>
      <w:r w:rsidR="003F3D79">
        <w:t>.</w:t>
      </w:r>
    </w:p>
    <w:p w14:paraId="511929F4" w14:textId="5874421A" w:rsidR="00504EA7" w:rsidRPr="00504EA7" w:rsidRDefault="00504EA7" w:rsidP="00C351C1">
      <w:pPr>
        <w:pStyle w:val="Heading3"/>
      </w:pPr>
      <w:r w:rsidRPr="00504EA7">
        <w:t>Calculation o</w:t>
      </w:r>
      <w:r w:rsidR="00FA6AC4">
        <w:t>f service c</w:t>
      </w:r>
      <w:r w:rsidRPr="00504EA7">
        <w:t>redits</w:t>
      </w:r>
    </w:p>
    <w:p w14:paraId="6ADEC362" w14:textId="00E005EE" w:rsidR="00B644C8" w:rsidRPr="00B337A3" w:rsidRDefault="00B644C8" w:rsidP="009E55C7">
      <w:pPr>
        <w:rPr>
          <w:color w:val="auto"/>
        </w:rPr>
      </w:pPr>
      <w:r w:rsidRPr="00B337A3">
        <w:rPr>
          <w:color w:val="auto"/>
        </w:rPr>
        <w:t xml:space="preserve">Where a Monthly Review Period incorporates part of a month, any Service credit will apply to a pro-rated Monthly </w:t>
      </w:r>
      <w:r w:rsidR="00FC58B8" w:rsidRPr="00B337A3">
        <w:rPr>
          <w:color w:val="auto"/>
        </w:rPr>
        <w:t>Fee</w:t>
      </w:r>
      <w:r w:rsidRPr="00B337A3">
        <w:rPr>
          <w:color w:val="auto"/>
        </w:rPr>
        <w:t>.</w:t>
      </w:r>
    </w:p>
    <w:p w14:paraId="7EFA654F" w14:textId="77777777" w:rsidR="00B644C8" w:rsidRPr="00B337A3" w:rsidRDefault="00B644C8" w:rsidP="009E55C7">
      <w:pPr>
        <w:rPr>
          <w:color w:val="auto"/>
        </w:rPr>
      </w:pPr>
      <w:r w:rsidRPr="00B337A3">
        <w:rPr>
          <w:color w:val="auto"/>
        </w:rPr>
        <w:t>Service credits will be calculated monthly, aggregated and credited to the Customer on a quarterly basis.</w:t>
      </w:r>
    </w:p>
    <w:p w14:paraId="670D7850" w14:textId="77777777" w:rsidR="00B644C8" w:rsidRPr="00B337A3" w:rsidRDefault="00B644C8" w:rsidP="009E55C7">
      <w:pPr>
        <w:rPr>
          <w:color w:val="auto"/>
        </w:rPr>
      </w:pPr>
      <w:r w:rsidRPr="00B337A3">
        <w:rPr>
          <w:color w:val="auto"/>
        </w:rPr>
        <w:t>If a Service is cancelled during a Monthly Review Period, no Service credit will be payable in respect of that Circuit for that Monthly Review Period.</w:t>
      </w:r>
    </w:p>
    <w:p w14:paraId="0ACD9591" w14:textId="2D502C2A" w:rsidR="00B644C8" w:rsidRPr="00B337A3" w:rsidRDefault="00B644C8" w:rsidP="009E55C7">
      <w:pPr>
        <w:rPr>
          <w:color w:val="auto"/>
        </w:rPr>
      </w:pPr>
      <w:r w:rsidRPr="00B337A3">
        <w:rPr>
          <w:color w:val="auto"/>
        </w:rPr>
        <w:t xml:space="preserve">The Customer must claim any Service credit due to a failure to meet the Service levels, in writing, within </w:t>
      </w:r>
      <w:r w:rsidR="00584620" w:rsidRPr="00B337A3">
        <w:rPr>
          <w:color w:val="auto"/>
        </w:rPr>
        <w:t>twenty-one</w:t>
      </w:r>
      <w:r w:rsidRPr="00B337A3">
        <w:rPr>
          <w:color w:val="auto"/>
        </w:rPr>
        <w:t xml:space="preserve"> (21) business days of the date at which the Customer could reasonably be expected to become aware of such failure.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w:t>
      </w:r>
      <w:r w:rsidRPr="00B337A3">
        <w:rPr>
          <w:color w:val="auto"/>
        </w:rPr>
        <w:t>received all the information it has reasonably requested.</w:t>
      </w:r>
    </w:p>
    <w:p w14:paraId="152FFF75" w14:textId="5942DE4C" w:rsidR="00504EA7" w:rsidRPr="00504EA7" w:rsidRDefault="00504EA7" w:rsidP="00C351C1">
      <w:pPr>
        <w:pStyle w:val="Heading3"/>
      </w:pPr>
      <w:r w:rsidRPr="00504EA7">
        <w:t>Exclusio</w:t>
      </w:r>
      <w:r w:rsidR="00FA6AC4">
        <w:t>ns to payment of service c</w:t>
      </w:r>
      <w:r w:rsidRPr="00504EA7">
        <w:t>redits</w:t>
      </w:r>
    </w:p>
    <w:p w14:paraId="7570E0DB" w14:textId="06CA2D14" w:rsidR="00B337A3" w:rsidRPr="00A0070A" w:rsidRDefault="00B337A3" w:rsidP="00B337A3">
      <w:r w:rsidRPr="00A0070A">
        <w:t xml:space="preserve">Service Credits will not be payable by </w:t>
      </w:r>
      <w:r>
        <w:t>Node4</w:t>
      </w:r>
      <w:r w:rsidRPr="00A0070A">
        <w:t xml:space="preserve"> to the Customer and Service Bonuses will not be waived by </w:t>
      </w:r>
      <w:r>
        <w:t>Node4</w:t>
      </w:r>
      <w:r w:rsidRPr="00A0070A">
        <w:t xml:space="preserve"> where the failure to meet a Service Level or Service Outcome is caused by any of the following:</w:t>
      </w:r>
    </w:p>
    <w:p w14:paraId="066F39DB" w14:textId="72734777" w:rsidR="00B337A3" w:rsidRPr="00A0070A" w:rsidRDefault="00B337A3" w:rsidP="00CE393B">
      <w:pPr>
        <w:pStyle w:val="ListParagraph"/>
        <w:numPr>
          <w:ilvl w:val="0"/>
          <w:numId w:val="42"/>
        </w:numPr>
      </w:pPr>
      <w:r w:rsidRPr="00A0070A">
        <w:t>The fault or negligence of the Customer, its employees, agents or contractors;</w:t>
      </w:r>
    </w:p>
    <w:p w14:paraId="740B499E" w14:textId="3AC5C8B7" w:rsidR="00B337A3" w:rsidRPr="00A0070A" w:rsidRDefault="00B337A3" w:rsidP="00CE393B">
      <w:pPr>
        <w:pStyle w:val="ListParagraph"/>
        <w:numPr>
          <w:ilvl w:val="0"/>
          <w:numId w:val="42"/>
        </w:numPr>
      </w:pPr>
      <w:r w:rsidRPr="00A0070A">
        <w:t>The Customer failing to comply with the terms of this Agreement;</w:t>
      </w:r>
    </w:p>
    <w:p w14:paraId="7014220A" w14:textId="5AD0432D" w:rsidR="00B337A3" w:rsidRPr="00A0070A" w:rsidRDefault="00B337A3" w:rsidP="00CE393B">
      <w:pPr>
        <w:pStyle w:val="ListParagraph"/>
        <w:numPr>
          <w:ilvl w:val="0"/>
          <w:numId w:val="42"/>
        </w:numPr>
      </w:pPr>
      <w:r w:rsidRPr="00A0070A">
        <w:t xml:space="preserve">Any Event of Force Majeure described </w:t>
      </w:r>
      <w:r w:rsidRPr="00E47348">
        <w:t>in Clause 15</w:t>
      </w:r>
      <w:r w:rsidRPr="00A0070A">
        <w:t>;</w:t>
      </w:r>
    </w:p>
    <w:p w14:paraId="4F6ACC59" w14:textId="6E7BE342" w:rsidR="00B337A3" w:rsidRPr="00A0070A" w:rsidRDefault="00B337A3" w:rsidP="00CE393B">
      <w:pPr>
        <w:pStyle w:val="ListParagraph"/>
        <w:numPr>
          <w:ilvl w:val="0"/>
          <w:numId w:val="42"/>
        </w:numPr>
      </w:pPr>
      <w:r w:rsidRPr="00A0070A">
        <w:t xml:space="preserve">A failure by the Customer to give </w:t>
      </w:r>
      <w:r w:rsidR="00785095">
        <w:t>Node4</w:t>
      </w:r>
      <w:r w:rsidRPr="00A0070A">
        <w:t xml:space="preserve"> necessary access to any Customer System after being requested to do so by </w:t>
      </w:r>
      <w:r w:rsidR="00785095">
        <w:t>Node4</w:t>
      </w:r>
      <w:r w:rsidRPr="00A0070A">
        <w:t>;</w:t>
      </w:r>
    </w:p>
    <w:p w14:paraId="4F2E4FC4" w14:textId="79F12C99" w:rsidR="00B337A3" w:rsidRPr="00A0070A" w:rsidRDefault="00B337A3" w:rsidP="00CE393B">
      <w:pPr>
        <w:pStyle w:val="ListParagraph"/>
        <w:numPr>
          <w:ilvl w:val="0"/>
          <w:numId w:val="42"/>
        </w:numPr>
      </w:pPr>
      <w:r w:rsidRPr="00A0070A">
        <w:t>Maintenance during any Planned Outage;</w:t>
      </w:r>
    </w:p>
    <w:p w14:paraId="3EB6FF73" w14:textId="5569A154" w:rsidR="00B337A3" w:rsidRDefault="00B337A3" w:rsidP="00CE393B">
      <w:pPr>
        <w:pStyle w:val="ListParagraph"/>
        <w:numPr>
          <w:ilvl w:val="0"/>
          <w:numId w:val="42"/>
        </w:numPr>
      </w:pPr>
      <w:r w:rsidRPr="00A0070A">
        <w:t>Any outages or degradation to existing Service that may be the result of Customer requested Service changes or upgrades;</w:t>
      </w:r>
    </w:p>
    <w:p w14:paraId="505F0661" w14:textId="714A2CED" w:rsidR="00504EA7" w:rsidRPr="00504EA7" w:rsidRDefault="00FA6AC4" w:rsidP="00CE393B">
      <w:pPr>
        <w:pStyle w:val="Heading2"/>
      </w:pPr>
      <w:r>
        <w:t>Service b</w:t>
      </w:r>
      <w:r w:rsidR="00504EA7" w:rsidRPr="00504EA7">
        <w:t>onus</w:t>
      </w:r>
    </w:p>
    <w:p w14:paraId="5B1EBCB7" w14:textId="181C3FC3" w:rsidR="002C2BCC" w:rsidRDefault="002C2BCC" w:rsidP="002C2BCC">
      <w:r>
        <w:t xml:space="preserve">If agreed as part of the Agreement, Node4 will reserve a percentage of the recurring Charge stated in the Order Form to be paid by the customer as Service Bonus. The actual Service Outcome and the Service Bonus percentage will be stated in the in Order Form. </w:t>
      </w:r>
    </w:p>
    <w:p w14:paraId="764CE6AF" w14:textId="37459F29" w:rsidR="00600920" w:rsidRPr="00B81D63" w:rsidRDefault="002C2BCC" w:rsidP="00600920">
      <w:r>
        <w:t>If Node4 is in breach of the agreed Service Level which is defined by the Service Outcome. The non-payment of the Service Bonus is the customer’s sole remedy.</w:t>
      </w:r>
    </w:p>
    <w:sectPr w:rsidR="00600920" w:rsidRPr="00B81D63" w:rsidSect="007C6D35">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CEB6" w14:textId="77777777" w:rsidR="008A479F" w:rsidRDefault="008A479F" w:rsidP="00763FA4">
      <w:pPr>
        <w:spacing w:after="0" w:line="240" w:lineRule="auto"/>
      </w:pPr>
      <w:r>
        <w:separator/>
      </w:r>
    </w:p>
  </w:endnote>
  <w:endnote w:type="continuationSeparator" w:id="0">
    <w:p w14:paraId="42153AD2" w14:textId="77777777" w:rsidR="008A479F" w:rsidRDefault="008A479F"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187D" w14:textId="77777777" w:rsidR="001561F9" w:rsidRDefault="001561F9">
    <w:pPr>
      <w:pStyle w:val="Footer"/>
    </w:pPr>
  </w:p>
  <w:p w14:paraId="15093892" w14:textId="77777777" w:rsidR="001561F9" w:rsidRDefault="001561F9">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4A4D" w14:textId="77777777" w:rsidR="001561F9" w:rsidRPr="00C97C97" w:rsidRDefault="001561F9"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8240" behindDoc="0" locked="0" layoutInCell="1" allowOverlap="1" wp14:anchorId="0BC63E8D" wp14:editId="2BB3ADAC">
              <wp:simplePos x="0" y="0"/>
              <wp:positionH relativeFrom="column">
                <wp:posOffset>-1023620</wp:posOffset>
              </wp:positionH>
              <wp:positionV relativeFrom="paragraph">
                <wp:posOffset>60959</wp:posOffset>
              </wp:positionV>
              <wp:extent cx="8394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7922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A68A7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" strokecolor="#f79220" strokeweight="2pt">
              <o:lock v:ext="edit" shapetype="f"/>
            </v:line>
          </w:pict>
        </mc:Fallback>
      </mc:AlternateContent>
    </w:r>
  </w:p>
  <w:p w14:paraId="212F45E4" w14:textId="76167402" w:rsidR="001561F9" w:rsidRPr="00C97C97" w:rsidRDefault="001561F9"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id w:val="-597567685"/>
        <w:placeholder>
          <w:docPart w:val="10D8C48356984B84995788E56DFC3123"/>
        </w:placeholder>
        <w:dataBinding w:prefixMappings="xmlns:ns0='http://purl.org/dc/elements/1.1/' xmlns:ns1='http://schemas.openxmlformats.org/package/2006/metadata/core-properties' " w:xpath="/ns1:coreProperties[1]/ns0:title[1]" w:storeItemID="{6C3C8BC8-F283-45AE-878A-BAB7291924A1}"/>
        <w:text/>
      </w:sdtPr>
      <w:sdtEndPr/>
      <w:sdtContent>
        <w:r>
          <w:rPr>
            <w:color w:val="8E908F"/>
            <w:sz w:val="18"/>
            <w:szCs w:val="18"/>
          </w:rPr>
          <w:t>Schedule Document</w:t>
        </w:r>
      </w:sdtContent>
    </w:sdt>
    <w:r>
      <w:rPr>
        <w:color w:val="8E908F"/>
        <w:sz w:val="18"/>
        <w:szCs w:val="18"/>
      </w:rPr>
      <w:t xml:space="preserve"> | </w:t>
    </w:r>
    <w:sdt>
      <w:sdtPr>
        <w:rPr>
          <w:color w:val="8E908F"/>
          <w:sz w:val="18"/>
          <w:szCs w:val="18"/>
        </w:rPr>
        <w:alias w:val="Subject"/>
        <w:id w:val="1318616331"/>
        <w:placeholder>
          <w:docPart w:val="10D8C48356984B84995788E56DFC3123"/>
        </w:placeholder>
        <w:dataBinding w:prefixMappings="xmlns:ns0='http://purl.org/dc/elements/1.1/' xmlns:ns1='http://schemas.openxmlformats.org/package/2006/metadata/core-properties' " w:xpath="/ns1:coreProperties[1]/ns0:subject[1]" w:storeItemID="{6C3C8BC8-F283-45AE-878A-BAB7291924A1}"/>
        <w:text/>
      </w:sdtPr>
      <w:sdtEndPr/>
      <w:sdtContent>
        <w:r w:rsidR="00FA6AC4">
          <w:rPr>
            <w:color w:val="8E908F"/>
            <w:sz w:val="18"/>
            <w:szCs w:val="18"/>
          </w:rPr>
          <w:t>Data management and ancillary services</w:t>
        </w:r>
      </w:sdtContent>
    </w:sdt>
    <w:r>
      <w:rPr>
        <w:color w:val="8E908F"/>
        <w:sz w:val="18"/>
        <w:szCs w:val="18"/>
      </w:rPr>
      <w:t xml:space="preserve"> | </w:t>
    </w:r>
    <w:sdt>
      <w:sdtPr>
        <w:rPr>
          <w:rStyle w:val="Footertxt"/>
          <w:szCs w:val="18"/>
        </w:rPr>
        <w:alias w:val="Publish Date"/>
        <w:id w:val="-557474267"/>
        <w:dataBinding w:prefixMappings="xmlns:ns0='http://schemas.microsoft.com/office/2006/coverPageProps' " w:xpath="/ns0:CoverPageProperties[1]/ns0:PublishDate[1]" w:storeItemID="{55AF091B-3C7A-41E3-B477-F2FDAA23CFDA}"/>
        <w:date w:fullDate="2017-07-17T00:00:00Z">
          <w:dateFormat w:val="dd/MM/yyyy"/>
          <w:lid w:val="en-GB"/>
          <w:storeMappedDataAs w:val="dateTime"/>
          <w:calendar w:val="gregorian"/>
        </w:date>
      </w:sdtPr>
      <w:sdtEndPr>
        <w:rPr>
          <w:rStyle w:val="Footertxt"/>
        </w:rPr>
      </w:sdtEndPr>
      <w:sdtContent>
        <w:r>
          <w:rPr>
            <w:rStyle w:val="Footertxt"/>
            <w:szCs w:val="18"/>
          </w:rPr>
          <w:t>17/07/2017</w:t>
        </w:r>
      </w:sdtContent>
    </w:sdt>
    <w:r>
      <w:tab/>
    </w:r>
    <w:r>
      <w:fldChar w:fldCharType="begin"/>
    </w:r>
    <w:r>
      <w:instrText xml:space="preserve"> PAGE  \* Arabic  \* MERGEFORMAT </w:instrText>
    </w:r>
    <w:r>
      <w:fldChar w:fldCharType="separate"/>
    </w:r>
    <w:r w:rsidR="00FA6AC4">
      <w:rPr>
        <w:noProof/>
      </w:rPr>
      <w:t>3</w:t>
    </w:r>
    <w:r>
      <w:fldChar w:fldCharType="end"/>
    </w:r>
    <w:r>
      <w:br/>
    </w:r>
  </w:p>
  <w:p w14:paraId="2D98EE1B" w14:textId="77777777" w:rsidR="001561F9" w:rsidRPr="008E3675" w:rsidRDefault="001561F9"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9979" w14:textId="77777777" w:rsidR="001561F9" w:rsidRDefault="001561F9"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58CFC91E" wp14:editId="37AFA0DC">
              <wp:simplePos x="0" y="0"/>
              <wp:positionH relativeFrom="column">
                <wp:posOffset>-1023620</wp:posOffset>
              </wp:positionH>
              <wp:positionV relativeFrom="paragraph">
                <wp:posOffset>-154941</wp:posOffset>
              </wp:positionV>
              <wp:extent cx="83947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F8E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C02DA7"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" strokecolor="#ff8e00" strokeweight="2pt">
              <o:lock v:ext="edit" shapetype="f"/>
            </v:line>
          </w:pict>
        </mc:Fallback>
      </mc:AlternateContent>
    </w:r>
  </w:p>
  <w:p w14:paraId="524E99B6" w14:textId="77777777" w:rsidR="001561F9" w:rsidRPr="008E3675" w:rsidRDefault="001561F9"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C6BC465" w14:textId="77777777" w:rsidR="001561F9" w:rsidRPr="00067346" w:rsidRDefault="001561F9"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ACD5" w14:textId="77777777" w:rsidR="008A479F" w:rsidRDefault="008A479F" w:rsidP="00763FA4">
      <w:pPr>
        <w:spacing w:after="0" w:line="240" w:lineRule="auto"/>
      </w:pPr>
      <w:r>
        <w:separator/>
      </w:r>
    </w:p>
  </w:footnote>
  <w:footnote w:type="continuationSeparator" w:id="0">
    <w:p w14:paraId="12E4F64F" w14:textId="77777777" w:rsidR="008A479F" w:rsidRDefault="008A479F"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DC53" w14:textId="55F1C403" w:rsidR="001561F9" w:rsidRPr="00763FA4" w:rsidRDefault="001561F9" w:rsidP="00FA6AC4">
    <w:pPr>
      <w:pStyle w:val="MainTitle"/>
      <w:ind w:right="-1"/>
      <w:jc w:val="right"/>
      <w:rPr>
        <w:rFonts w:ascii="Trebuchet MS" w:hAnsi="Trebuchet MS"/>
        <w:sz w:val="32"/>
        <w:szCs w:val="32"/>
      </w:rPr>
    </w:pPr>
    <w:r>
      <w:tab/>
    </w:r>
    <w:r>
      <w:rPr>
        <w:noProof/>
        <w:lang w:eastAsia="en-GB"/>
      </w:rPr>
      <w:t xml:space="preserve"> </w:t>
    </w:r>
    <w:r w:rsidR="00FA6AC4" w:rsidRPr="00BC665D">
      <w:rPr>
        <w:noProof/>
        <w:lang w:val="en-US"/>
      </w:rPr>
      <w:drawing>
        <wp:inline distT="0" distB="0" distL="0" distR="0" wp14:anchorId="36F99323" wp14:editId="1F8E7CB5">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68DE" w14:textId="77777777" w:rsidR="001561F9" w:rsidRDefault="001561F9">
    <w:pPr>
      <w:pStyle w:val="Header"/>
    </w:pPr>
    <w:r>
      <w:rPr>
        <w:noProof/>
        <w:lang w:val="en-US"/>
      </w:rPr>
      <w:drawing>
        <wp:anchor distT="0" distB="0" distL="114300" distR="114300" simplePos="0" relativeHeight="251671552" behindDoc="1" locked="0" layoutInCell="1" allowOverlap="1" wp14:anchorId="59BAC6A9" wp14:editId="6D6434DB">
          <wp:simplePos x="0" y="0"/>
          <wp:positionH relativeFrom="column">
            <wp:posOffset>-859155</wp:posOffset>
          </wp:positionH>
          <wp:positionV relativeFrom="paragraph">
            <wp:posOffset>-525780</wp:posOffset>
          </wp:positionV>
          <wp:extent cx="7912100" cy="1003300"/>
          <wp:effectExtent l="0" t="0" r="12700" b="1270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384CB23D" wp14:editId="715EB196">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B2"/>
    <w:multiLevelType w:val="hybridMultilevel"/>
    <w:tmpl w:val="B6E604AA"/>
    <w:lvl w:ilvl="0" w:tplc="50122AE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E174E"/>
    <w:multiLevelType w:val="hybridMultilevel"/>
    <w:tmpl w:val="EF308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D04C6"/>
    <w:multiLevelType w:val="hybridMultilevel"/>
    <w:tmpl w:val="317A5A76"/>
    <w:lvl w:ilvl="0" w:tplc="D84EE2EC">
      <w:start w:val="1"/>
      <w:numFmt w:val="bullet"/>
      <w:pStyle w:val="ListParagraph"/>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9B3BB5"/>
    <w:multiLevelType w:val="hybridMultilevel"/>
    <w:tmpl w:val="5E6CAFEA"/>
    <w:lvl w:ilvl="0" w:tplc="44BE8E4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15DD"/>
    <w:multiLevelType w:val="hybridMultilevel"/>
    <w:tmpl w:val="F94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85760"/>
    <w:multiLevelType w:val="hybridMultilevel"/>
    <w:tmpl w:val="E4D69230"/>
    <w:lvl w:ilvl="0" w:tplc="44BE8E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8533E"/>
    <w:multiLevelType w:val="hybridMultilevel"/>
    <w:tmpl w:val="687E2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85003"/>
    <w:multiLevelType w:val="multilevel"/>
    <w:tmpl w:val="9DD8047C"/>
    <w:lvl w:ilvl="0">
      <w:start w:val="1"/>
      <w:numFmt w:val="decimal"/>
      <w:pStyle w:val="Heading2"/>
      <w:lvlText w:val="%1."/>
      <w:lvlJc w:val="left"/>
      <w:pPr>
        <w:ind w:left="0" w:firstLine="72"/>
      </w:pPr>
      <w:rPr>
        <w:rFonts w:hint="default"/>
      </w:rPr>
    </w:lvl>
    <w:lvl w:ilvl="1">
      <w:start w:val="1"/>
      <w:numFmt w:val="decimal"/>
      <w:pStyle w:val="Heading3"/>
      <w:isLgl/>
      <w:lvlText w:val="%1.%2"/>
      <w:lvlJc w:val="left"/>
      <w:pPr>
        <w:ind w:left="144" w:hanging="1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816F25"/>
    <w:multiLevelType w:val="hybridMultilevel"/>
    <w:tmpl w:val="5DF056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350621"/>
    <w:multiLevelType w:val="multilevel"/>
    <w:tmpl w:val="A05204FC"/>
    <w:lvl w:ilvl="0">
      <w:start w:val="1"/>
      <w:numFmt w:val="lowerRoman"/>
      <w:pStyle w:val="SLATableBullet1"/>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236B6EB5"/>
    <w:multiLevelType w:val="hybridMultilevel"/>
    <w:tmpl w:val="D4766E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A94A9E"/>
    <w:multiLevelType w:val="hybridMultilevel"/>
    <w:tmpl w:val="A970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0D5A"/>
    <w:multiLevelType w:val="hybridMultilevel"/>
    <w:tmpl w:val="789EC4DC"/>
    <w:lvl w:ilvl="0" w:tplc="C1BCDE6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666BA"/>
    <w:multiLevelType w:val="hybridMultilevel"/>
    <w:tmpl w:val="957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A43F7"/>
    <w:multiLevelType w:val="hybridMultilevel"/>
    <w:tmpl w:val="25208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0F594A"/>
    <w:multiLevelType w:val="hybridMultilevel"/>
    <w:tmpl w:val="5BA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468FB"/>
    <w:multiLevelType w:val="hybridMultilevel"/>
    <w:tmpl w:val="64360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549EC"/>
    <w:multiLevelType w:val="hybridMultilevel"/>
    <w:tmpl w:val="564E6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27781"/>
    <w:multiLevelType w:val="hybridMultilevel"/>
    <w:tmpl w:val="D6BEEA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5E66F9"/>
    <w:multiLevelType w:val="hybridMultilevel"/>
    <w:tmpl w:val="A00C52D2"/>
    <w:lvl w:ilvl="0" w:tplc="6A1661AE">
      <w:start w:val="1"/>
      <w:numFmt w:val="bullet"/>
      <w:pStyle w:val="SLABullet1"/>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FA7684"/>
    <w:multiLevelType w:val="hybridMultilevel"/>
    <w:tmpl w:val="F76A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8758B"/>
    <w:multiLevelType w:val="hybridMultilevel"/>
    <w:tmpl w:val="B84CE81C"/>
    <w:lvl w:ilvl="0" w:tplc="D556C3A2">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8426C"/>
    <w:multiLevelType w:val="hybridMultilevel"/>
    <w:tmpl w:val="BB6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D2639"/>
    <w:multiLevelType w:val="hybridMultilevel"/>
    <w:tmpl w:val="19E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72DB"/>
    <w:multiLevelType w:val="hybridMultilevel"/>
    <w:tmpl w:val="1CD2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C4842"/>
    <w:multiLevelType w:val="hybridMultilevel"/>
    <w:tmpl w:val="A5808E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7CF0F75"/>
    <w:multiLevelType w:val="hybridMultilevel"/>
    <w:tmpl w:val="62C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33F85"/>
    <w:multiLevelType w:val="hybridMultilevel"/>
    <w:tmpl w:val="2F40F4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9B4D8E"/>
    <w:multiLevelType w:val="hybridMultilevel"/>
    <w:tmpl w:val="643605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1"/>
  </w:num>
  <w:num w:numId="5">
    <w:abstractNumId w:val="17"/>
  </w:num>
  <w:num w:numId="6">
    <w:abstractNumId w:val="13"/>
  </w:num>
  <w:num w:numId="7">
    <w:abstractNumId w:val="19"/>
  </w:num>
  <w:num w:numId="8">
    <w:abstractNumId w:val="25"/>
  </w:num>
  <w:num w:numId="9">
    <w:abstractNumId w:val="20"/>
  </w:num>
  <w:num w:numId="10">
    <w:abstractNumId w:val="9"/>
  </w:num>
  <w:num w:numId="11">
    <w:abstractNumId w:val="7"/>
  </w:num>
  <w:num w:numId="12">
    <w:abstractNumId w:val="7"/>
  </w:num>
  <w:num w:numId="13">
    <w:abstractNumId w:val="7"/>
  </w:num>
  <w:num w:numId="14">
    <w:abstractNumId w:val="18"/>
  </w:num>
  <w:num w:numId="15">
    <w:abstractNumId w:val="28"/>
  </w:num>
  <w:num w:numId="16">
    <w:abstractNumId w:val="4"/>
  </w:num>
  <w:num w:numId="17">
    <w:abstractNumId w:val="22"/>
  </w:num>
  <w:num w:numId="18">
    <w:abstractNumId w:val="10"/>
  </w:num>
  <w:num w:numId="19">
    <w:abstractNumId w:val="7"/>
  </w:num>
  <w:num w:numId="20">
    <w:abstractNumId w:val="7"/>
  </w:num>
  <w:num w:numId="21">
    <w:abstractNumId w:val="7"/>
  </w:num>
  <w:num w:numId="22">
    <w:abstractNumId w:val="6"/>
  </w:num>
  <w:num w:numId="23">
    <w:abstractNumId w:val="7"/>
  </w:num>
  <w:num w:numId="24">
    <w:abstractNumId w:val="24"/>
  </w:num>
  <w:num w:numId="25">
    <w:abstractNumId w:val="7"/>
  </w:num>
  <w:num w:numId="26">
    <w:abstractNumId w:val="16"/>
  </w:num>
  <w:num w:numId="27">
    <w:abstractNumId w:val="29"/>
  </w:num>
  <w:num w:numId="28">
    <w:abstractNumId w:val="8"/>
  </w:num>
  <w:num w:numId="29">
    <w:abstractNumId w:val="7"/>
  </w:num>
  <w:num w:numId="30">
    <w:abstractNumId w:val="7"/>
  </w:num>
  <w:num w:numId="31">
    <w:abstractNumId w:val="7"/>
  </w:num>
  <w:num w:numId="32">
    <w:abstractNumId w:val="7"/>
  </w:num>
  <w:num w:numId="33">
    <w:abstractNumId w:val="7"/>
  </w:num>
  <w:num w:numId="34">
    <w:abstractNumId w:val="2"/>
  </w:num>
  <w:num w:numId="35">
    <w:abstractNumId w:val="5"/>
  </w:num>
  <w:num w:numId="36">
    <w:abstractNumId w:val="3"/>
  </w:num>
  <w:num w:numId="37">
    <w:abstractNumId w:val="7"/>
  </w:num>
  <w:num w:numId="38">
    <w:abstractNumId w:val="12"/>
  </w:num>
  <w:num w:numId="39">
    <w:abstractNumId w:val="27"/>
  </w:num>
  <w:num w:numId="40">
    <w:abstractNumId w:val="7"/>
  </w:num>
  <w:num w:numId="41">
    <w:abstractNumId w:val="7"/>
  </w:num>
  <w:num w:numId="42">
    <w:abstractNumId w:val="23"/>
  </w:num>
  <w:num w:numId="43">
    <w:abstractNumId w:val="21"/>
  </w:num>
  <w:num w:numId="44">
    <w:abstractNumId w:val="7"/>
  </w:num>
  <w:num w:numId="45">
    <w:abstractNumId w:val="15"/>
  </w:num>
  <w:num w:numId="46">
    <w:abstractNumId w:val="7"/>
  </w:num>
  <w:num w:numId="47">
    <w:abstractNumId w:val="1"/>
  </w:num>
  <w:num w:numId="4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MzI1MTEzsjA0sjRV0lEKTi0uzszPAykwrgUAMvuKZCwAAAA="/>
  </w:docVars>
  <w:rsids>
    <w:rsidRoot w:val="00115677"/>
    <w:rsid w:val="00011BF1"/>
    <w:rsid w:val="00013191"/>
    <w:rsid w:val="00015473"/>
    <w:rsid w:val="0003419A"/>
    <w:rsid w:val="000570ED"/>
    <w:rsid w:val="00067346"/>
    <w:rsid w:val="00077330"/>
    <w:rsid w:val="00082A44"/>
    <w:rsid w:val="0008650A"/>
    <w:rsid w:val="00093621"/>
    <w:rsid w:val="000C6E0A"/>
    <w:rsid w:val="000D7DBE"/>
    <w:rsid w:val="000E69BA"/>
    <w:rsid w:val="000F2E83"/>
    <w:rsid w:val="00100C19"/>
    <w:rsid w:val="00101615"/>
    <w:rsid w:val="00115677"/>
    <w:rsid w:val="00124A75"/>
    <w:rsid w:val="00143442"/>
    <w:rsid w:val="0015391C"/>
    <w:rsid w:val="001561F9"/>
    <w:rsid w:val="0016150F"/>
    <w:rsid w:val="001658B2"/>
    <w:rsid w:val="00165A02"/>
    <w:rsid w:val="00183E5D"/>
    <w:rsid w:val="001905BE"/>
    <w:rsid w:val="0019061D"/>
    <w:rsid w:val="001A1BCF"/>
    <w:rsid w:val="001A64EA"/>
    <w:rsid w:val="001B1C7F"/>
    <w:rsid w:val="001B70C6"/>
    <w:rsid w:val="001B769F"/>
    <w:rsid w:val="001C5508"/>
    <w:rsid w:val="001C66EC"/>
    <w:rsid w:val="001E121E"/>
    <w:rsid w:val="001E1CB2"/>
    <w:rsid w:val="001E2F28"/>
    <w:rsid w:val="001F1EEA"/>
    <w:rsid w:val="002239E7"/>
    <w:rsid w:val="00240D1F"/>
    <w:rsid w:val="0024593F"/>
    <w:rsid w:val="002463BF"/>
    <w:rsid w:val="00253397"/>
    <w:rsid w:val="002615EA"/>
    <w:rsid w:val="00263CF5"/>
    <w:rsid w:val="00280212"/>
    <w:rsid w:val="00295086"/>
    <w:rsid w:val="002A2301"/>
    <w:rsid w:val="002B1EE2"/>
    <w:rsid w:val="002B28D7"/>
    <w:rsid w:val="002C2A91"/>
    <w:rsid w:val="002C2BCC"/>
    <w:rsid w:val="002C32E4"/>
    <w:rsid w:val="002C365B"/>
    <w:rsid w:val="002D1893"/>
    <w:rsid w:val="002D35C9"/>
    <w:rsid w:val="002D3875"/>
    <w:rsid w:val="002D5240"/>
    <w:rsid w:val="002D6205"/>
    <w:rsid w:val="002E71FD"/>
    <w:rsid w:val="002E7B82"/>
    <w:rsid w:val="002F0B7B"/>
    <w:rsid w:val="002F614D"/>
    <w:rsid w:val="00301C5E"/>
    <w:rsid w:val="003164B8"/>
    <w:rsid w:val="00337D43"/>
    <w:rsid w:val="003424E0"/>
    <w:rsid w:val="0035483D"/>
    <w:rsid w:val="00366030"/>
    <w:rsid w:val="0038229C"/>
    <w:rsid w:val="003976A9"/>
    <w:rsid w:val="003B3E43"/>
    <w:rsid w:val="003B7CA7"/>
    <w:rsid w:val="003C6392"/>
    <w:rsid w:val="003F098C"/>
    <w:rsid w:val="003F3D79"/>
    <w:rsid w:val="0040276A"/>
    <w:rsid w:val="00403516"/>
    <w:rsid w:val="00412FE3"/>
    <w:rsid w:val="00422732"/>
    <w:rsid w:val="00434207"/>
    <w:rsid w:val="00441725"/>
    <w:rsid w:val="004422EC"/>
    <w:rsid w:val="0044398C"/>
    <w:rsid w:val="00450C87"/>
    <w:rsid w:val="004705EF"/>
    <w:rsid w:val="00473925"/>
    <w:rsid w:val="0048299E"/>
    <w:rsid w:val="004839D0"/>
    <w:rsid w:val="0049469E"/>
    <w:rsid w:val="004B0358"/>
    <w:rsid w:val="004C6FE7"/>
    <w:rsid w:val="004D4FDE"/>
    <w:rsid w:val="004E06FA"/>
    <w:rsid w:val="004F1461"/>
    <w:rsid w:val="0050180A"/>
    <w:rsid w:val="00504EA7"/>
    <w:rsid w:val="00522760"/>
    <w:rsid w:val="00525B78"/>
    <w:rsid w:val="0053127D"/>
    <w:rsid w:val="00535757"/>
    <w:rsid w:val="0054015F"/>
    <w:rsid w:val="00541405"/>
    <w:rsid w:val="00550CBF"/>
    <w:rsid w:val="00562E69"/>
    <w:rsid w:val="00566132"/>
    <w:rsid w:val="00584620"/>
    <w:rsid w:val="00591EA8"/>
    <w:rsid w:val="005A0266"/>
    <w:rsid w:val="005C520F"/>
    <w:rsid w:val="005C7C24"/>
    <w:rsid w:val="005E4B0D"/>
    <w:rsid w:val="005E5D65"/>
    <w:rsid w:val="00600920"/>
    <w:rsid w:val="006134F6"/>
    <w:rsid w:val="006135E8"/>
    <w:rsid w:val="006229F8"/>
    <w:rsid w:val="00625039"/>
    <w:rsid w:val="00643F14"/>
    <w:rsid w:val="00651841"/>
    <w:rsid w:val="0065738C"/>
    <w:rsid w:val="00660D7D"/>
    <w:rsid w:val="00662A4E"/>
    <w:rsid w:val="006834B6"/>
    <w:rsid w:val="00697287"/>
    <w:rsid w:val="006A1F87"/>
    <w:rsid w:val="006A4655"/>
    <w:rsid w:val="006B0EEC"/>
    <w:rsid w:val="006B16B0"/>
    <w:rsid w:val="006C28B7"/>
    <w:rsid w:val="006C2FB9"/>
    <w:rsid w:val="006C35C9"/>
    <w:rsid w:val="006E56B2"/>
    <w:rsid w:val="006E5ADD"/>
    <w:rsid w:val="006F63EE"/>
    <w:rsid w:val="0071018F"/>
    <w:rsid w:val="0071232C"/>
    <w:rsid w:val="00742A78"/>
    <w:rsid w:val="00743BA9"/>
    <w:rsid w:val="00747BE2"/>
    <w:rsid w:val="00750151"/>
    <w:rsid w:val="0075571A"/>
    <w:rsid w:val="00763FA4"/>
    <w:rsid w:val="0077458E"/>
    <w:rsid w:val="007805C3"/>
    <w:rsid w:val="00785095"/>
    <w:rsid w:val="007902AF"/>
    <w:rsid w:val="007923C5"/>
    <w:rsid w:val="00794A9C"/>
    <w:rsid w:val="007A6293"/>
    <w:rsid w:val="007B26D3"/>
    <w:rsid w:val="007B7467"/>
    <w:rsid w:val="007C5DB0"/>
    <w:rsid w:val="007C6D35"/>
    <w:rsid w:val="007C7A85"/>
    <w:rsid w:val="007D1C93"/>
    <w:rsid w:val="007D5A22"/>
    <w:rsid w:val="007D7C28"/>
    <w:rsid w:val="007E4014"/>
    <w:rsid w:val="007F0CC5"/>
    <w:rsid w:val="00800EF6"/>
    <w:rsid w:val="00824767"/>
    <w:rsid w:val="00831387"/>
    <w:rsid w:val="008364C6"/>
    <w:rsid w:val="00845F55"/>
    <w:rsid w:val="0085185B"/>
    <w:rsid w:val="0085220B"/>
    <w:rsid w:val="0085701A"/>
    <w:rsid w:val="00864368"/>
    <w:rsid w:val="008751BE"/>
    <w:rsid w:val="00880420"/>
    <w:rsid w:val="0088113C"/>
    <w:rsid w:val="00886328"/>
    <w:rsid w:val="008A479F"/>
    <w:rsid w:val="008A61C7"/>
    <w:rsid w:val="008B0D79"/>
    <w:rsid w:val="008B4916"/>
    <w:rsid w:val="008C162F"/>
    <w:rsid w:val="008D0D48"/>
    <w:rsid w:val="008D4DDA"/>
    <w:rsid w:val="008D58C3"/>
    <w:rsid w:val="008E3675"/>
    <w:rsid w:val="008F01FA"/>
    <w:rsid w:val="00903C3A"/>
    <w:rsid w:val="00914B51"/>
    <w:rsid w:val="00917DEE"/>
    <w:rsid w:val="009311A4"/>
    <w:rsid w:val="00943FC9"/>
    <w:rsid w:val="0096519F"/>
    <w:rsid w:val="009708D0"/>
    <w:rsid w:val="00970ABD"/>
    <w:rsid w:val="00974F62"/>
    <w:rsid w:val="00975161"/>
    <w:rsid w:val="00982CDC"/>
    <w:rsid w:val="00983E53"/>
    <w:rsid w:val="009938D9"/>
    <w:rsid w:val="00997D26"/>
    <w:rsid w:val="009A2B6C"/>
    <w:rsid w:val="009C1417"/>
    <w:rsid w:val="009D3803"/>
    <w:rsid w:val="009D7FBC"/>
    <w:rsid w:val="009E0518"/>
    <w:rsid w:val="009E55C7"/>
    <w:rsid w:val="009E762C"/>
    <w:rsid w:val="009F1480"/>
    <w:rsid w:val="009F38D2"/>
    <w:rsid w:val="009F41FF"/>
    <w:rsid w:val="009F424A"/>
    <w:rsid w:val="00A04071"/>
    <w:rsid w:val="00A075F8"/>
    <w:rsid w:val="00A239F8"/>
    <w:rsid w:val="00A3376E"/>
    <w:rsid w:val="00A63240"/>
    <w:rsid w:val="00A7112C"/>
    <w:rsid w:val="00A750FB"/>
    <w:rsid w:val="00A800F0"/>
    <w:rsid w:val="00A90C39"/>
    <w:rsid w:val="00A92937"/>
    <w:rsid w:val="00A97CDC"/>
    <w:rsid w:val="00AA0DC1"/>
    <w:rsid w:val="00AB38D5"/>
    <w:rsid w:val="00AB49E0"/>
    <w:rsid w:val="00AD1A6F"/>
    <w:rsid w:val="00AE72C9"/>
    <w:rsid w:val="00AF7FCB"/>
    <w:rsid w:val="00B0371D"/>
    <w:rsid w:val="00B164F8"/>
    <w:rsid w:val="00B337A3"/>
    <w:rsid w:val="00B36391"/>
    <w:rsid w:val="00B42790"/>
    <w:rsid w:val="00B43D80"/>
    <w:rsid w:val="00B5157A"/>
    <w:rsid w:val="00B644C8"/>
    <w:rsid w:val="00B71E4B"/>
    <w:rsid w:val="00B71EBF"/>
    <w:rsid w:val="00B7653F"/>
    <w:rsid w:val="00B81D63"/>
    <w:rsid w:val="00BB249A"/>
    <w:rsid w:val="00BD418D"/>
    <w:rsid w:val="00BE0666"/>
    <w:rsid w:val="00BE78C4"/>
    <w:rsid w:val="00BF72B0"/>
    <w:rsid w:val="00C022C8"/>
    <w:rsid w:val="00C04256"/>
    <w:rsid w:val="00C11B76"/>
    <w:rsid w:val="00C137C1"/>
    <w:rsid w:val="00C2544F"/>
    <w:rsid w:val="00C31225"/>
    <w:rsid w:val="00C32DB7"/>
    <w:rsid w:val="00C351C1"/>
    <w:rsid w:val="00C40D9C"/>
    <w:rsid w:val="00C559CB"/>
    <w:rsid w:val="00C758F2"/>
    <w:rsid w:val="00C82FF7"/>
    <w:rsid w:val="00C949F0"/>
    <w:rsid w:val="00C94FDB"/>
    <w:rsid w:val="00C97C97"/>
    <w:rsid w:val="00CA644F"/>
    <w:rsid w:val="00CB7C54"/>
    <w:rsid w:val="00CC645D"/>
    <w:rsid w:val="00CD2CDB"/>
    <w:rsid w:val="00CD3CAB"/>
    <w:rsid w:val="00CD43DC"/>
    <w:rsid w:val="00CE393B"/>
    <w:rsid w:val="00CE537D"/>
    <w:rsid w:val="00CF4390"/>
    <w:rsid w:val="00D116F7"/>
    <w:rsid w:val="00D16A6A"/>
    <w:rsid w:val="00D25D04"/>
    <w:rsid w:val="00D3043C"/>
    <w:rsid w:val="00D30F7E"/>
    <w:rsid w:val="00D31E6E"/>
    <w:rsid w:val="00D33E41"/>
    <w:rsid w:val="00D342B8"/>
    <w:rsid w:val="00D44323"/>
    <w:rsid w:val="00D50832"/>
    <w:rsid w:val="00D9612B"/>
    <w:rsid w:val="00DA5641"/>
    <w:rsid w:val="00DA7250"/>
    <w:rsid w:val="00DA76FC"/>
    <w:rsid w:val="00DB253A"/>
    <w:rsid w:val="00DC349E"/>
    <w:rsid w:val="00DD4B53"/>
    <w:rsid w:val="00DD4DB7"/>
    <w:rsid w:val="00DD6D97"/>
    <w:rsid w:val="00DE643B"/>
    <w:rsid w:val="00DF52D4"/>
    <w:rsid w:val="00E13656"/>
    <w:rsid w:val="00E14015"/>
    <w:rsid w:val="00E31330"/>
    <w:rsid w:val="00E62938"/>
    <w:rsid w:val="00E62BEA"/>
    <w:rsid w:val="00E6505A"/>
    <w:rsid w:val="00EA194C"/>
    <w:rsid w:val="00EA504A"/>
    <w:rsid w:val="00EB7817"/>
    <w:rsid w:val="00EC6445"/>
    <w:rsid w:val="00EC7CD6"/>
    <w:rsid w:val="00EE2DE1"/>
    <w:rsid w:val="00F11A6A"/>
    <w:rsid w:val="00F231FD"/>
    <w:rsid w:val="00F236DC"/>
    <w:rsid w:val="00F3120C"/>
    <w:rsid w:val="00F357C5"/>
    <w:rsid w:val="00F42B38"/>
    <w:rsid w:val="00F50131"/>
    <w:rsid w:val="00F506EC"/>
    <w:rsid w:val="00F55939"/>
    <w:rsid w:val="00F55FB9"/>
    <w:rsid w:val="00F576F0"/>
    <w:rsid w:val="00F735FF"/>
    <w:rsid w:val="00F74E79"/>
    <w:rsid w:val="00F847D4"/>
    <w:rsid w:val="00F9302D"/>
    <w:rsid w:val="00FA653C"/>
    <w:rsid w:val="00FA6AC4"/>
    <w:rsid w:val="00FB4DF8"/>
    <w:rsid w:val="00FB6265"/>
    <w:rsid w:val="00FB7D59"/>
    <w:rsid w:val="00FC3491"/>
    <w:rsid w:val="00FC495A"/>
    <w:rsid w:val="00FC58B8"/>
    <w:rsid w:val="00FD01F1"/>
    <w:rsid w:val="00FD15C6"/>
    <w:rsid w:val="00FD5F6E"/>
    <w:rsid w:val="00FD6639"/>
    <w:rsid w:val="00FD7E76"/>
    <w:rsid w:val="00FE697C"/>
    <w:rsid w:val="00FF48A2"/>
    <w:rsid w:val="00FF7BB4"/>
    <w:rsid w:val="0121BA18"/>
    <w:rsid w:val="0BDA1A3A"/>
    <w:rsid w:val="233243BE"/>
    <w:rsid w:val="2B295AE9"/>
    <w:rsid w:val="3DCD55F1"/>
    <w:rsid w:val="46DDBD51"/>
    <w:rsid w:val="49AC2076"/>
    <w:rsid w:val="5254B41E"/>
    <w:rsid w:val="5441DABD"/>
    <w:rsid w:val="58A99AED"/>
    <w:rsid w:val="595EE4C5"/>
    <w:rsid w:val="6483B7A3"/>
    <w:rsid w:val="690E24B5"/>
    <w:rsid w:val="69352DEA"/>
    <w:rsid w:val="6BB97ED1"/>
    <w:rsid w:val="771BE0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29152"/>
  <w15:docId w15:val="{38C4B934-3201-488A-91A7-F21FC939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651841"/>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FA6AC4"/>
    <w:pPr>
      <w:keepNext/>
      <w:keepLines/>
      <w:spacing w:after="0"/>
      <w:outlineLvl w:val="0"/>
    </w:pPr>
    <w:rPr>
      <w:rFonts w:eastAsia="MS Mincho"/>
      <w:sz w:val="36"/>
      <w:szCs w:val="36"/>
    </w:rPr>
  </w:style>
  <w:style w:type="paragraph" w:styleId="Heading2">
    <w:name w:val="heading 2"/>
    <w:aliases w:val="Sub Heading"/>
    <w:basedOn w:val="Normal"/>
    <w:next w:val="Normal"/>
    <w:link w:val="Heading2Char"/>
    <w:autoRedefine/>
    <w:uiPriority w:val="9"/>
    <w:unhideWhenUsed/>
    <w:qFormat/>
    <w:rsid w:val="00C31225"/>
    <w:pPr>
      <w:keepNext/>
      <w:keepLines/>
      <w:numPr>
        <w:numId w:val="3"/>
      </w:numPr>
      <w:ind w:left="426" w:hanging="426"/>
      <w:outlineLvl w:val="1"/>
    </w:pPr>
    <w:rPr>
      <w:rFonts w:eastAsia="MS Mincho"/>
      <w:b/>
      <w:color w:val="F79646" w:themeColor="accent6"/>
      <w:sz w:val="28"/>
      <w:szCs w:val="32"/>
    </w:rPr>
  </w:style>
  <w:style w:type="paragraph" w:styleId="Heading3">
    <w:name w:val="heading 3"/>
    <w:basedOn w:val="Normal"/>
    <w:next w:val="Normal"/>
    <w:link w:val="Heading3Char"/>
    <w:autoRedefine/>
    <w:uiPriority w:val="9"/>
    <w:unhideWhenUsed/>
    <w:qFormat/>
    <w:rsid w:val="00FA6AC4"/>
    <w:pPr>
      <w:keepNext/>
      <w:keepLines/>
      <w:numPr>
        <w:ilvl w:val="1"/>
        <w:numId w:val="3"/>
      </w:numPr>
      <w:spacing w:before="200" w:after="0"/>
      <w:ind w:left="426" w:hanging="426"/>
      <w:jc w:val="left"/>
      <w:outlineLvl w:val="2"/>
    </w:pPr>
    <w:rPr>
      <w:rFonts w:eastAsia="MS Mincho" w:cs="Helvetica-Narrow"/>
      <w:b/>
      <w:color w:val="F79646" w:themeColor="accent6"/>
      <w:szCs w:val="22"/>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N4Title">
    <w:name w:val="N4Title"/>
    <w:basedOn w:val="Header"/>
    <w:link w:val="N4TitleChar"/>
    <w:rsid w:val="00B36391"/>
    <w:rPr>
      <w:caps/>
      <w:color w:val="1E1E1E"/>
      <w:sz w:val="36"/>
      <w:szCs w:val="36"/>
    </w:rPr>
  </w:style>
  <w:style w:type="character" w:customStyle="1" w:styleId="Style1Char">
    <w:name w:val="Style1 Char"/>
    <w:link w:val="Style1"/>
    <w:rsid w:val="00660D7D"/>
    <w:rPr>
      <w:rFonts w:ascii="Trebuchet MS" w:hAnsi="Trebuchet MS"/>
      <w:color w:val="FFFFFF"/>
      <w:sz w:val="28"/>
      <w:szCs w:val="52"/>
    </w:rPr>
  </w:style>
  <w:style w:type="character" w:customStyle="1" w:styleId="Heading1Char">
    <w:name w:val="Heading 1 Char"/>
    <w:aliases w:val="Heading Char"/>
    <w:link w:val="Heading1"/>
    <w:uiPriority w:val="9"/>
    <w:rsid w:val="00FA6AC4"/>
    <w:rPr>
      <w:rFonts w:ascii="Arial" w:eastAsia="MS Mincho" w:hAnsi="Arial"/>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character" w:customStyle="1" w:styleId="Heading2Char">
    <w:name w:val="Heading 2 Char"/>
    <w:aliases w:val="Sub Heading Char"/>
    <w:link w:val="Heading2"/>
    <w:uiPriority w:val="9"/>
    <w:rsid w:val="00C31225"/>
    <w:rPr>
      <w:rFonts w:ascii="Arial" w:eastAsia="MS Mincho" w:hAnsi="Arial"/>
      <w:b/>
      <w:color w:val="F79646" w:themeColor="accent6"/>
      <w:sz w:val="28"/>
      <w:szCs w:val="32"/>
    </w:rPr>
  </w:style>
  <w:style w:type="character" w:customStyle="1" w:styleId="Heading3Char">
    <w:name w:val="Heading 3 Char"/>
    <w:link w:val="Heading3"/>
    <w:uiPriority w:val="9"/>
    <w:rsid w:val="00FA6AC4"/>
    <w:rPr>
      <w:rFonts w:ascii="Arial" w:eastAsia="MS Mincho" w:hAnsi="Arial" w:cs="Helvetica-Narrow"/>
      <w:b/>
      <w:color w:val="F79646" w:themeColor="accent6"/>
      <w:szCs w:val="22"/>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CE393B"/>
    <w:pPr>
      <w:numPr>
        <w:numId w:val="34"/>
      </w:numPr>
      <w:spacing w:after="120"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styleId="NoSpacing">
    <w:name w:val="No Spacing"/>
    <w:uiPriority w:val="1"/>
    <w:rsid w:val="002D5240"/>
    <w:rPr>
      <w:rFonts w:ascii="Arial" w:hAnsi="Arial"/>
      <w:color w:val="1E1E1E"/>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81D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81D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B81D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6A1F87"/>
    <w:rPr>
      <w:rFonts w:ascii="Arial" w:hAnsi="Arial" w:cs="Arial" w:hint="default"/>
      <w:color w:val="8E908F"/>
      <w:sz w:val="18"/>
    </w:rPr>
  </w:style>
  <w:style w:type="character" w:styleId="CommentReference">
    <w:name w:val="annotation reference"/>
    <w:basedOn w:val="DefaultParagraphFont"/>
    <w:uiPriority w:val="99"/>
    <w:semiHidden/>
    <w:unhideWhenUsed/>
    <w:rsid w:val="00441725"/>
    <w:rPr>
      <w:sz w:val="16"/>
      <w:szCs w:val="16"/>
    </w:rPr>
  </w:style>
  <w:style w:type="paragraph" w:styleId="CommentText">
    <w:name w:val="annotation text"/>
    <w:basedOn w:val="Normal"/>
    <w:link w:val="CommentTextChar"/>
    <w:uiPriority w:val="99"/>
    <w:semiHidden/>
    <w:unhideWhenUsed/>
    <w:rsid w:val="00441725"/>
    <w:pPr>
      <w:spacing w:line="240" w:lineRule="auto"/>
    </w:pPr>
  </w:style>
  <w:style w:type="character" w:customStyle="1" w:styleId="CommentTextChar">
    <w:name w:val="Comment Text Char"/>
    <w:basedOn w:val="DefaultParagraphFont"/>
    <w:link w:val="CommentText"/>
    <w:uiPriority w:val="99"/>
    <w:semiHidden/>
    <w:rsid w:val="00441725"/>
    <w:rPr>
      <w:rFonts w:ascii="Arial" w:hAnsi="Arial"/>
      <w:color w:val="1E1E1E"/>
    </w:rPr>
  </w:style>
  <w:style w:type="paragraph" w:styleId="CommentSubject">
    <w:name w:val="annotation subject"/>
    <w:basedOn w:val="CommentText"/>
    <w:next w:val="CommentText"/>
    <w:link w:val="CommentSubjectChar"/>
    <w:uiPriority w:val="99"/>
    <w:semiHidden/>
    <w:unhideWhenUsed/>
    <w:rsid w:val="00441725"/>
    <w:rPr>
      <w:b/>
      <w:bCs/>
    </w:rPr>
  </w:style>
  <w:style w:type="character" w:customStyle="1" w:styleId="CommentSubjectChar">
    <w:name w:val="Comment Subject Char"/>
    <w:basedOn w:val="CommentTextChar"/>
    <w:link w:val="CommentSubject"/>
    <w:uiPriority w:val="99"/>
    <w:semiHidden/>
    <w:rsid w:val="00441725"/>
    <w:rPr>
      <w:rFonts w:ascii="Arial" w:hAnsi="Arial"/>
      <w:b/>
      <w:bCs/>
      <w:color w:val="1E1E1E"/>
    </w:rPr>
  </w:style>
  <w:style w:type="paragraph" w:customStyle="1" w:styleId="SLABullet1">
    <w:name w:val="SLA_Bullet_1"/>
    <w:basedOn w:val="Normal"/>
    <w:uiPriority w:val="99"/>
    <w:rsid w:val="0071018F"/>
    <w:pPr>
      <w:numPr>
        <w:numId w:val="7"/>
      </w:numPr>
      <w:spacing w:line="204" w:lineRule="auto"/>
    </w:pPr>
    <w:rPr>
      <w:rFonts w:ascii="Calibri" w:eastAsia="Calibri" w:hAnsi="Calibri" w:cs="Calibri"/>
      <w:color w:val="000000" w:themeColor="text1"/>
      <w:sz w:val="18"/>
      <w:szCs w:val="24"/>
      <w:lang w:val="en-US"/>
    </w:rPr>
  </w:style>
  <w:style w:type="paragraph" w:customStyle="1" w:styleId="SLATableBullet1">
    <w:name w:val="SLA_Table_Bullet_1"/>
    <w:basedOn w:val="SLABullet1"/>
    <w:uiPriority w:val="99"/>
    <w:rsid w:val="002C2BCC"/>
    <w:pPr>
      <w:numPr>
        <w:numId w:val="10"/>
      </w:numPr>
      <w:spacing w:after="0"/>
    </w:pPr>
    <w:rPr>
      <w:sz w:val="24"/>
      <w:lang w:val="en-GB"/>
    </w:rPr>
  </w:style>
  <w:style w:type="table" w:customStyle="1" w:styleId="TableGrid1">
    <w:name w:val="Table Grid1"/>
    <w:basedOn w:val="TableNormal"/>
    <w:next w:val="TableGrid"/>
    <w:uiPriority w:val="59"/>
    <w:rsid w:val="00C11B76"/>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1B76"/>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5641"/>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5641"/>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348">
      <w:bodyDiv w:val="1"/>
      <w:marLeft w:val="0"/>
      <w:marRight w:val="0"/>
      <w:marTop w:val="0"/>
      <w:marBottom w:val="0"/>
      <w:divBdr>
        <w:top w:val="none" w:sz="0" w:space="0" w:color="auto"/>
        <w:left w:val="none" w:sz="0" w:space="0" w:color="auto"/>
        <w:bottom w:val="none" w:sz="0" w:space="0" w:color="auto"/>
        <w:right w:val="none" w:sz="0" w:space="0" w:color="auto"/>
      </w:divBdr>
    </w:div>
    <w:div w:id="13219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404531D604301AD1E4FA0DDAABC79"/>
        <w:category>
          <w:name w:val="General"/>
          <w:gallery w:val="placeholder"/>
        </w:category>
        <w:types>
          <w:type w:val="bbPlcHdr"/>
        </w:types>
        <w:behaviors>
          <w:behavior w:val="content"/>
        </w:behaviors>
        <w:guid w:val="{D5C32776-81F2-434E-9319-F22927A26B6B}"/>
      </w:docPartPr>
      <w:docPartBody>
        <w:p w:rsidR="0094150D" w:rsidRDefault="00D80AD8">
          <w:pPr>
            <w:pStyle w:val="B73404531D604301AD1E4FA0DDAABC79"/>
          </w:pPr>
          <w:r w:rsidRPr="00A050CA">
            <w:rPr>
              <w:rStyle w:val="PlaceholderText"/>
            </w:rPr>
            <w:t>[Title]</w:t>
          </w:r>
        </w:p>
      </w:docPartBody>
    </w:docPart>
    <w:docPart>
      <w:docPartPr>
        <w:name w:val="CBBC1DCE13F54CFEBD546476F307DC58"/>
        <w:category>
          <w:name w:val="General"/>
          <w:gallery w:val="placeholder"/>
        </w:category>
        <w:types>
          <w:type w:val="bbPlcHdr"/>
        </w:types>
        <w:behaviors>
          <w:behavior w:val="content"/>
        </w:behaviors>
        <w:guid w:val="{8ACA24A2-AB7D-4CAA-87A1-8A92318B54D1}"/>
      </w:docPartPr>
      <w:docPartBody>
        <w:p w:rsidR="0094150D" w:rsidRDefault="00D80AD8">
          <w:pPr>
            <w:pStyle w:val="CBBC1DCE13F54CFEBD546476F307DC58"/>
          </w:pPr>
          <w:r w:rsidRPr="00A050CA">
            <w:rPr>
              <w:rStyle w:val="PlaceholderText"/>
            </w:rPr>
            <w:t>[Subject]</w:t>
          </w:r>
        </w:p>
      </w:docPartBody>
    </w:docPart>
    <w:docPart>
      <w:docPartPr>
        <w:name w:val="0D1B964DEA264CC2A65701624A4C49BD"/>
        <w:category>
          <w:name w:val="General"/>
          <w:gallery w:val="placeholder"/>
        </w:category>
        <w:types>
          <w:type w:val="bbPlcHdr"/>
        </w:types>
        <w:behaviors>
          <w:behavior w:val="content"/>
        </w:behaviors>
        <w:guid w:val="{B131E5A9-48AD-4A2D-951A-A4E0FEE91588}"/>
      </w:docPartPr>
      <w:docPartBody>
        <w:p w:rsidR="0094150D" w:rsidRDefault="00D80AD8">
          <w:pPr>
            <w:pStyle w:val="0D1B964DEA264CC2A65701624A4C49BD"/>
          </w:pPr>
          <w:r w:rsidRPr="00A050CA">
            <w:rPr>
              <w:rStyle w:val="PlaceholderText"/>
            </w:rPr>
            <w:t>[Company]</w:t>
          </w:r>
        </w:p>
      </w:docPartBody>
    </w:docPart>
    <w:docPart>
      <w:docPartPr>
        <w:name w:val="560D3FCD7CC4483C86340F1007ACA699"/>
        <w:category>
          <w:name w:val="General"/>
          <w:gallery w:val="placeholder"/>
        </w:category>
        <w:types>
          <w:type w:val="bbPlcHdr"/>
        </w:types>
        <w:behaviors>
          <w:behavior w:val="content"/>
        </w:behaviors>
        <w:guid w:val="{6D6E8830-5576-4EDB-9BD6-9FE0C4499E83}"/>
      </w:docPartPr>
      <w:docPartBody>
        <w:p w:rsidR="004355C7" w:rsidRDefault="00A14FC2" w:rsidP="00A14FC2">
          <w:pPr>
            <w:pStyle w:val="560D3FCD7CC4483C86340F1007ACA699"/>
          </w:pPr>
          <w:r>
            <w:rPr>
              <w:rStyle w:val="PlaceholderText"/>
            </w:rPr>
            <w:t>Choose an item.</w:t>
          </w:r>
        </w:p>
      </w:docPartBody>
    </w:docPart>
    <w:docPart>
      <w:docPartPr>
        <w:name w:val="10D8C48356984B84995788E56DFC3123"/>
        <w:category>
          <w:name w:val="General"/>
          <w:gallery w:val="placeholder"/>
        </w:category>
        <w:types>
          <w:type w:val="bbPlcHdr"/>
        </w:types>
        <w:behaviors>
          <w:behavior w:val="content"/>
        </w:behaviors>
        <w:guid w:val="{BA7FE8DB-BC1D-4083-841F-9CF6967F46B2}"/>
      </w:docPartPr>
      <w:docPartBody>
        <w:p w:rsidR="004355C7" w:rsidRDefault="00A14FC2" w:rsidP="00A14FC2">
          <w:pPr>
            <w:pStyle w:val="10D8C48356984B84995788E56DFC3123"/>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8"/>
    <w:rsid w:val="00026D97"/>
    <w:rsid w:val="00145DEB"/>
    <w:rsid w:val="00153373"/>
    <w:rsid w:val="002C0518"/>
    <w:rsid w:val="003A0BD5"/>
    <w:rsid w:val="003F2072"/>
    <w:rsid w:val="004355C7"/>
    <w:rsid w:val="0045780C"/>
    <w:rsid w:val="005D2CC7"/>
    <w:rsid w:val="005D4DD0"/>
    <w:rsid w:val="005E4122"/>
    <w:rsid w:val="006174AA"/>
    <w:rsid w:val="0062326C"/>
    <w:rsid w:val="00780EB3"/>
    <w:rsid w:val="007A4024"/>
    <w:rsid w:val="007C68F8"/>
    <w:rsid w:val="00814031"/>
    <w:rsid w:val="00876ED8"/>
    <w:rsid w:val="008E145A"/>
    <w:rsid w:val="0094150D"/>
    <w:rsid w:val="00955FA8"/>
    <w:rsid w:val="00982041"/>
    <w:rsid w:val="00A1112F"/>
    <w:rsid w:val="00A14FC2"/>
    <w:rsid w:val="00A71662"/>
    <w:rsid w:val="00AA33E8"/>
    <w:rsid w:val="00BA40E4"/>
    <w:rsid w:val="00BE135E"/>
    <w:rsid w:val="00C42530"/>
    <w:rsid w:val="00CC324F"/>
    <w:rsid w:val="00D80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FA8"/>
  </w:style>
  <w:style w:type="paragraph" w:customStyle="1" w:styleId="B73404531D604301AD1E4FA0DDAABC79">
    <w:name w:val="B73404531D604301AD1E4FA0DDAABC79"/>
  </w:style>
  <w:style w:type="paragraph" w:customStyle="1" w:styleId="CBBC1DCE13F54CFEBD546476F307DC58">
    <w:name w:val="CBBC1DCE13F54CFEBD546476F307DC58"/>
  </w:style>
  <w:style w:type="paragraph" w:customStyle="1" w:styleId="EB5529DD0E644EFA9098D8F62AC35D95">
    <w:name w:val="EB5529DD0E644EFA9098D8F62AC35D95"/>
  </w:style>
  <w:style w:type="paragraph" w:customStyle="1" w:styleId="0D1B964DEA264CC2A65701624A4C49BD">
    <w:name w:val="0D1B964DEA264CC2A65701624A4C49BD"/>
  </w:style>
  <w:style w:type="paragraph" w:customStyle="1" w:styleId="4A3C849215E545E2ADFA48CBD80E70D7">
    <w:name w:val="4A3C849215E545E2ADFA48CBD80E70D7"/>
  </w:style>
  <w:style w:type="paragraph" w:customStyle="1" w:styleId="71786A67D9B4438EB7260B1F4D299468">
    <w:name w:val="71786A67D9B4438EB7260B1F4D299468"/>
  </w:style>
  <w:style w:type="paragraph" w:customStyle="1" w:styleId="41D6EBCAE9464B0599FE9A2AB0076102">
    <w:name w:val="41D6EBCAE9464B0599FE9A2AB0076102"/>
    <w:rsid w:val="0045780C"/>
  </w:style>
  <w:style w:type="paragraph" w:customStyle="1" w:styleId="560D3FCD7CC4483C86340F1007ACA699">
    <w:name w:val="560D3FCD7CC4483C86340F1007ACA699"/>
    <w:rsid w:val="00A14FC2"/>
  </w:style>
  <w:style w:type="paragraph" w:customStyle="1" w:styleId="10D8C48356984B84995788E56DFC3123">
    <w:name w:val="10D8C48356984B84995788E56DFC3123"/>
    <w:rsid w:val="00A14FC2"/>
  </w:style>
  <w:style w:type="paragraph" w:customStyle="1" w:styleId="788B60A57ED242E591BCFC4C02368217">
    <w:name w:val="788B60A57ED242E591BCFC4C02368217"/>
    <w:rsid w:val="00A14FC2"/>
  </w:style>
  <w:style w:type="paragraph" w:customStyle="1" w:styleId="D02727066562490DBA542D4B52DE65B6">
    <w:name w:val="D02727066562490DBA542D4B52DE65B6"/>
    <w:rsid w:val="00955FA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2017-07-17T00:00:00</PublishDate>
  <Abstract/>
  <CompanyAddress/>
  <CompanyPhone/>
  <CompanyFax/>
  <CompanyEmail/>
</CoverPageProperties>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HQUH5AKSS44Y-26-290</_dlc_DocId>
    <_dlc_DocIdUrl xmlns="8ada9566-16df-408c-8db3-ec44ea18bc7e">
      <Url>http://sharepoint2013.node4.co.uk/operations/ISO/_layouts/15/DocIdRedir.aspx?ID=HQUH5AKSS44Y-26-290</Url>
      <Description>HQUH5AKSS44Y-26-290</Description>
    </_dlc_DocIdUrl>
    <Related_x0020_Standards xmlns="1f083a3d-7bde-4da4-a0d4-0ec860b42004"/>
    <Owner xmlns="1f083a3d-7bde-4da4-a0d4-0ec860b42004">
      <UserInfo>
        <DisplayName/>
        <AccountId xsi:nil="true"/>
        <AccountType/>
      </UserInfo>
    </Owner>
  </documentManagement>
</p:properties>
</file>

<file path=customXml/item4.xml><root xmlns="Document Category">
  <Type name="Technical">Report</Type>
  <Type name="White"/>
  <Type name="Manual"/>
  <Type name="Report"/>
</root>
</file>

<file path=customXml/item5.xml><?xml version="1.0" encoding="utf-8"?>
<ct:contentTypeSchema xmlns:ct="http://schemas.microsoft.com/office/2006/metadata/contentType" xmlns:ma="http://schemas.microsoft.com/office/2006/metadata/properties/metaAttributes" ct:_="" ma:_="" ma:contentTypeName="Document" ma:contentTypeID="0x01010012379B0C39AEE941BEAD496F6F188256" ma:contentTypeVersion="11" ma:contentTypeDescription="Create a new document." ma:contentTypeScope="" ma:versionID="eb3a4fdd5342d0deb411979e9286ea01">
  <xsd:schema xmlns:xsd="http://www.w3.org/2001/XMLSchema" xmlns:xs="http://www.w3.org/2001/XMLSchema" xmlns:p="http://schemas.microsoft.com/office/2006/metadata/properties" xmlns:ns2="8ada9566-16df-408c-8db3-ec44ea18bc7e" xmlns:ns3="1f083a3d-7bde-4da4-a0d4-0ec860b42004" targetNamespace="http://schemas.microsoft.com/office/2006/metadata/properties" ma:root="true" ma:fieldsID="791c0d3ded1ec2159b685af5c64d61d6" ns2:_="" ns3:_="">
    <xsd:import namespace="8ada9566-16df-408c-8db3-ec44ea18bc7e"/>
    <xsd:import namespace="1f083a3d-7bde-4da4-a0d4-0ec860b42004"/>
    <xsd:element name="properties">
      <xsd:complexType>
        <xsd:sequence>
          <xsd:element name="documentManagement">
            <xsd:complexType>
              <xsd:all>
                <xsd:element ref="ns2:_dlc_DocId" minOccurs="0"/>
                <xsd:element ref="ns2:_dlc_DocIdUrl" minOccurs="0"/>
                <xsd:element ref="ns2:_dlc_DocIdPersistId" minOccurs="0"/>
                <xsd:element ref="ns3:Related_x0020_Standards"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083a3d-7bde-4da4-a0d4-0ec860b42004" elementFormDefault="qualified">
    <xsd:import namespace="http://schemas.microsoft.com/office/2006/documentManagement/types"/>
    <xsd:import namespace="http://schemas.microsoft.com/office/infopath/2007/PartnerControls"/>
    <xsd:element name="Related_x0020_Standards" ma:index="11" nillable="true" ma:displayName="Related Standards" ma:internalName="Related_x0020_Standards">
      <xsd:complexType>
        <xsd:complexContent>
          <xsd:extension base="dms:MultiChoice">
            <xsd:sequence>
              <xsd:element name="Value" maxOccurs="unbounded" minOccurs="0" nillable="true">
                <xsd:simpleType>
                  <xsd:restriction base="dms:Choice">
                    <xsd:enumeration value="ISO9001"/>
                    <xsd:enumeration value="ISO27001"/>
                    <xsd:enumeration value="IS020001"/>
                    <xsd:enumeration value="ISO14001"/>
                    <xsd:enumeration value="Cisco CMSP"/>
                    <xsd:enumeration value="PSN Accreditation"/>
                    <xsd:enumeration value="PCI Compliance"/>
                  </xsd:restriction>
                </xsd:simpleType>
              </xsd:element>
            </xsd:sequence>
          </xsd:extension>
        </xsd:complexContent>
      </xsd:complexType>
    </xsd:element>
    <xsd:element name="Owner" ma:index="12" nillable="true" ma:displayName="Owner" ma:description="Person accountable for this document"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root xmlns="Security Type">
  <Security name="Highly Confidential">Public</Security>
  <Security name="Confidential"/>
  <Security name="Internal Use only"/>
  <Security name="Confidential"/>
</root>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B576B-DEB9-4B76-979D-257E86ABCAAB}">
  <ds:schemaRefs/>
</ds:datastoreItem>
</file>

<file path=customXml/itemProps3.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 ds:uri="1f083a3d-7bde-4da4-a0d4-0ec860b42004"/>
  </ds:schemaRefs>
</ds:datastoreItem>
</file>

<file path=customXml/itemProps4.xml><?xml version="1.0" encoding="utf-8"?>
<ds:datastoreItem xmlns:ds="http://schemas.openxmlformats.org/officeDocument/2006/customXml" ds:itemID="{A87D58F3-D782-4C0F-A953-9EC005021CBF}">
  <ds:schemaRefs>
    <ds:schemaRef ds:uri="Document Category"/>
  </ds:schemaRefs>
</ds:datastoreItem>
</file>

<file path=customXml/itemProps5.xml><?xml version="1.0" encoding="utf-8"?>
<ds:datastoreItem xmlns:ds="http://schemas.openxmlformats.org/officeDocument/2006/customXml" ds:itemID="{B8A6A9D1-1354-4478-9732-686A56013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1f083a3d-7bde-4da4-a0d4-0ec860b42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0260BB-1140-42BD-B14A-DF7052E49D72}">
  <ds:schemaRefs>
    <ds:schemaRef ds:uri="Security Type"/>
  </ds:schemaRefs>
</ds:datastoreItem>
</file>

<file path=customXml/itemProps7.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8.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9.xml><?xml version="1.0" encoding="utf-8"?>
<ds:datastoreItem xmlns:ds="http://schemas.openxmlformats.org/officeDocument/2006/customXml" ds:itemID="{87E7D674-CFC7-4658-B6F4-F656780A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Data management and ancillary services</dc:subject>
  <dc:creator>Author</dc:creator>
  <cp:keywords/>
  <dc:description/>
  <cp:lastModifiedBy>Andy Cresswell</cp:lastModifiedBy>
  <cp:revision>28</cp:revision>
  <cp:lastPrinted>2018-10-25T15:20:00Z</cp:lastPrinted>
  <dcterms:created xsi:type="dcterms:W3CDTF">2018-10-24T13:49:00Z</dcterms:created>
  <dcterms:modified xsi:type="dcterms:W3CDTF">2018-11-08T14:36:00Z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907079a9-03a8-4a18-8428-042819c4e356</vt:lpwstr>
  </property>
  <property fmtid="{D5CDD505-2E9C-101B-9397-08002B2CF9AE}" pid="3" name="ContentTypeId">
    <vt:lpwstr>0x01010012379B0C39AEE941BEAD496F6F188256</vt:lpwstr>
  </property>
</Properties>
</file>