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A9404B" w14:textId="7B76B7F3" w:rsidR="0050180A" w:rsidRDefault="00AF7FCB" w:rsidP="00A01207">
      <w:pPr>
        <w:rPr>
          <w:rStyle w:val="N4TitleChar"/>
        </w:rPr>
      </w:pPr>
      <w:r>
        <w:rPr>
          <w:rStyle w:val="N4TitleChar"/>
        </w:rPr>
        <w:softHyphen/>
      </w:r>
    </w:p>
    <w:p w14:paraId="6A143511" w14:textId="353D758D" w:rsidR="0050180A" w:rsidRDefault="0050180A" w:rsidP="00903C3A">
      <w:pPr>
        <w:ind w:right="543"/>
        <w:jc w:val="right"/>
        <w:rPr>
          <w:rStyle w:val="N4TitleChar"/>
        </w:rPr>
      </w:pPr>
    </w:p>
    <w:p w14:paraId="2444B361" w14:textId="0F25D52A" w:rsidR="00F357C5" w:rsidRDefault="00F357C5" w:rsidP="00903C3A">
      <w:pPr>
        <w:ind w:right="543"/>
        <w:jc w:val="right"/>
        <w:rPr>
          <w:rStyle w:val="N4TitleChar"/>
        </w:rPr>
      </w:pPr>
    </w:p>
    <w:p w14:paraId="7AA260C8" w14:textId="6EAFF5A8" w:rsidR="00FD01F1" w:rsidRPr="00403516" w:rsidRDefault="00FD01F1" w:rsidP="00747BE2">
      <w:pPr>
        <w:pStyle w:val="MainTitle"/>
        <w:rPr>
          <w:rStyle w:val="N4TitleChar"/>
          <w:rFonts w:cs="Arial"/>
        </w:rPr>
      </w:pPr>
    </w:p>
    <w:p w14:paraId="42B64272" w14:textId="6FFCF101" w:rsidR="00A04071" w:rsidRDefault="00A04071" w:rsidP="00536852">
      <w:pPr>
        <w:pStyle w:val="Heading1"/>
      </w:pPr>
    </w:p>
    <w:p w14:paraId="16779AF1" w14:textId="591B7056" w:rsidR="00A04071" w:rsidRDefault="00BC665D">
      <w:pPr>
        <w:spacing w:after="0" w:line="240" w:lineRule="auto"/>
        <w:rPr>
          <w:rFonts w:eastAsia="MS Mincho"/>
          <w:caps/>
          <w:sz w:val="36"/>
          <w:szCs w:val="36"/>
        </w:rPr>
      </w:pPr>
      <w:r w:rsidRPr="00BC665D">
        <w:rPr>
          <w:noProof/>
          <w:lang w:val="en-US"/>
        </w:rPr>
        <w:drawing>
          <wp:anchor distT="0" distB="0" distL="114300" distR="114300" simplePos="0" relativeHeight="251655680" behindDoc="0" locked="0" layoutInCell="1" allowOverlap="1" wp14:anchorId="166D0586" wp14:editId="38CE3030">
            <wp:simplePos x="0" y="0"/>
            <wp:positionH relativeFrom="margin">
              <wp:posOffset>2916555</wp:posOffset>
            </wp:positionH>
            <wp:positionV relativeFrom="margin">
              <wp:posOffset>2865033</wp:posOffset>
            </wp:positionV>
            <wp:extent cx="3089910" cy="765175"/>
            <wp:effectExtent l="0" t="0" r="0" b="0"/>
            <wp:wrapSquare wrapText="bothSides"/>
            <wp:docPr id="1" name="Picture 1" descr="\\euronas\Work\Clients\N\NODE4\2222 - Rebranding - Nov 2017\Design\Artwork\FINAL BRAND ASSETS\Logos\RGB\Logo_gradient-straplin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ronas\Work\Clients\N\NODE4\2222 - Rebranding - Nov 2017\Design\Artwork\FINAL BRAND ASSETS\Logos\RGB\Logo_gradient-strapline_RGB.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89910" cy="765175"/>
                    </a:xfrm>
                    <a:prstGeom prst="rect">
                      <a:avLst/>
                    </a:prstGeom>
                    <a:noFill/>
                    <a:ln>
                      <a:noFill/>
                    </a:ln>
                  </pic:spPr>
                </pic:pic>
              </a:graphicData>
            </a:graphic>
            <wp14:sizeRelH relativeFrom="margin">
              <wp14:pctWidth>0</wp14:pctWidth>
            </wp14:sizeRelH>
          </wp:anchor>
        </w:drawing>
      </w:r>
      <w:r w:rsidR="00982CDC">
        <w:rPr>
          <w:caps/>
          <w:noProof/>
          <w:sz w:val="36"/>
          <w:szCs w:val="36"/>
          <w:lang w:val="en-US"/>
        </w:rPr>
        <mc:AlternateContent>
          <mc:Choice Requires="wps">
            <w:drawing>
              <wp:anchor distT="0" distB="0" distL="114300" distR="114300" simplePos="0" relativeHeight="251662848" behindDoc="0" locked="0" layoutInCell="1" allowOverlap="1" wp14:anchorId="5BB20BFA" wp14:editId="0CB1775A">
                <wp:simplePos x="0" y="0"/>
                <wp:positionH relativeFrom="column">
                  <wp:posOffset>-135255</wp:posOffset>
                </wp:positionH>
                <wp:positionV relativeFrom="paragraph">
                  <wp:posOffset>3460115</wp:posOffset>
                </wp:positionV>
                <wp:extent cx="6388100" cy="2819400"/>
                <wp:effectExtent l="0" t="0" r="0" b="0"/>
                <wp:wrapSquare wrapText="bothSides"/>
                <wp:docPr id="39" name="Text Box 39"/>
                <wp:cNvGraphicFramePr/>
                <a:graphic xmlns:a="http://schemas.openxmlformats.org/drawingml/2006/main">
                  <a:graphicData uri="http://schemas.microsoft.com/office/word/2010/wordprocessingShape">
                    <wps:wsp>
                      <wps:cNvSpPr txBox="1"/>
                      <wps:spPr>
                        <a:xfrm>
                          <a:off x="0" y="0"/>
                          <a:ext cx="6388100" cy="28194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7CF0164E" w14:textId="3CDF6BCF" w:rsidR="00462B63" w:rsidRDefault="00D17BB8" w:rsidP="00A04071">
                            <w:pPr>
                              <w:pStyle w:val="MainTitle"/>
                              <w:tabs>
                                <w:tab w:val="left" w:pos="4111"/>
                              </w:tabs>
                              <w:ind w:right="496"/>
                              <w:jc w:val="right"/>
                              <w:rPr>
                                <w:rStyle w:val="TitleChar"/>
                              </w:rPr>
                            </w:pPr>
                            <w:sdt>
                              <w:sdtPr>
                                <w:rPr>
                                  <w:rFonts w:eastAsia="MS Mincho"/>
                                  <w:caps/>
                                  <w:color w:val="323232" w:themeColor="text1"/>
                                  <w:spacing w:val="10"/>
                                  <w:kern w:val="28"/>
                                  <w:sz w:val="28"/>
                                  <w:szCs w:val="28"/>
                                  <w:lang w:val="en-US" w:bidi="en-US"/>
                                </w:rPr>
                                <w:alias w:val="Title"/>
                                <w:tag w:val=""/>
                                <w:id w:val="-1458333232"/>
                                <w:placeholder>
                                  <w:docPart w:val="3C00D643C283324FBBF4CDCD169D1C89"/>
                                </w:placeholder>
                                <w:dataBinding w:prefixMappings="xmlns:ns0='http://purl.org/dc/elements/1.1/' xmlns:ns1='http://schemas.openxmlformats.org/package/2006/metadata/core-properties' " w:xpath="/ns1:coreProperties[1]/ns0:title[1]" w:storeItemID="{6C3C8BC8-F283-45AE-878A-BAB7291924A1}"/>
                                <w:text/>
                              </w:sdtPr>
                              <w:sdtEndPr>
                                <w:rPr>
                                  <w:rFonts w:eastAsia="Trebuchet MS"/>
                                  <w:caps w:val="0"/>
                                  <w:spacing w:val="0"/>
                                  <w:kern w:val="0"/>
                                  <w:sz w:val="40"/>
                                  <w:szCs w:val="40"/>
                                  <w:lang w:val="en-GB" w:bidi="ar-SA"/>
                                </w:rPr>
                              </w:sdtEndPr>
                              <w:sdtContent>
                                <w:r w:rsidR="00BD4FA9">
                                  <w:rPr>
                                    <w:color w:val="323232" w:themeColor="text1"/>
                                  </w:rPr>
                                  <w:t>Schedule d</w:t>
                                </w:r>
                                <w:r w:rsidR="001216E1">
                                  <w:rPr>
                                    <w:color w:val="323232" w:themeColor="text1"/>
                                  </w:rPr>
                                  <w:t>ocument</w:t>
                                </w:r>
                              </w:sdtContent>
                            </w:sdt>
                          </w:p>
                          <w:sdt>
                            <w:sdtPr>
                              <w:rPr>
                                <w:color w:val="F79220"/>
                              </w:rPr>
                              <w:alias w:val="Subject"/>
                              <w:tag w:val=""/>
                              <w:id w:val="1070621246"/>
                              <w:placeholder>
                                <w:docPart w:val="6C054F4347B3CC45849FF3316CA2A3F9"/>
                              </w:placeholder>
                              <w:dataBinding w:prefixMappings="xmlns:ns0='http://purl.org/dc/elements/1.1/' xmlns:ns1='http://schemas.openxmlformats.org/package/2006/metadata/core-properties' " w:xpath="/ns1:coreProperties[1]/ns0:subject[1]" w:storeItemID="{6C3C8BC8-F283-45AE-878A-BAB7291924A1}"/>
                              <w:text/>
                            </w:sdtPr>
                            <w:sdtEndPr/>
                            <w:sdtContent>
                              <w:p w14:paraId="2194AA32" w14:textId="66947618" w:rsidR="00462B63" w:rsidRPr="00536852" w:rsidRDefault="007E2E1C" w:rsidP="00D15A65">
                                <w:pPr>
                                  <w:pStyle w:val="Heading2"/>
                                  <w:numPr>
                                    <w:ilvl w:val="0"/>
                                    <w:numId w:val="0"/>
                                  </w:numPr>
                                  <w:ind w:left="357" w:right="496"/>
                                  <w:jc w:val="right"/>
                                  <w:rPr>
                                    <w:color w:val="F79220"/>
                                  </w:rPr>
                                </w:pPr>
                                <w:r>
                                  <w:rPr>
                                    <w:color w:val="F79220"/>
                                  </w:rPr>
                                  <w:t>N4</w:t>
                                </w:r>
                                <w:r w:rsidR="001216E1" w:rsidRPr="00536852">
                                  <w:rPr>
                                    <w:color w:val="F79220"/>
                                  </w:rPr>
                                  <w:t xml:space="preserve">Protect DDOS </w:t>
                                </w:r>
                                <w:r>
                                  <w:rPr>
                                    <w:color w:val="F79220"/>
                                  </w:rPr>
                                  <w:t xml:space="preserve">and N4Protect DDoS+ </w:t>
                                </w:r>
                                <w:r w:rsidR="001216E1" w:rsidRPr="00536852">
                                  <w:rPr>
                                    <w:color w:val="F79220"/>
                                  </w:rPr>
                                  <w:t>Service</w:t>
                                </w:r>
                              </w:p>
                            </w:sdtContent>
                          </w:sdt>
                          <w:sdt>
                            <w:sdtPr>
                              <w:alias w:val="Security Level Input"/>
                              <w:tag w:val="Security Level Input"/>
                              <w:id w:val="-1061325534"/>
                              <w:dataBinding w:prefixMappings="xmlns:ns0='Security Type' " w:xpath="/ns0:root[1]/ns0:Security[1]" w:storeItemID="{3B0260BB-1140-42BD-B14A-DF7052E49D72}"/>
                              <w:dropDownList w:lastValue="Public">
                                <w:listItem w:displayText="Choose a Security Option" w:value="Security Option Not Selected"/>
                                <w:listItem w:displayText="Public" w:value="Public"/>
                                <w:listItem w:displayText="Partner Only" w:value="Partner Only"/>
                                <w:listItem w:displayText="Internal Use Only" w:value="Internal Use Only"/>
                                <w:listItem w:displayText="Confidential" w:value="Confidential"/>
                              </w:dropDownList>
                            </w:sdtPr>
                            <w:sdtEndPr/>
                            <w:sdtContent>
                              <w:p w14:paraId="29C6BE68" w14:textId="03EE2DFB" w:rsidR="00462B63" w:rsidRPr="00F00C3F" w:rsidRDefault="00462B63" w:rsidP="008119B0">
                                <w:pPr>
                                  <w:pStyle w:val="Heading4"/>
                                  <w:ind w:left="720" w:right="424"/>
                                  <w:jc w:val="right"/>
                                  <w:rPr>
                                    <w:rFonts w:eastAsia="Trebuchet MS"/>
                                    <w:caps/>
                                    <w:sz w:val="20"/>
                                    <w:szCs w:val="20"/>
                                  </w:rPr>
                                </w:pPr>
                                <w:r w:rsidRPr="00F00C3F">
                                  <w:t>Public</w:t>
                                </w:r>
                              </w:p>
                            </w:sdtContent>
                          </w:sdt>
                          <w:sdt>
                            <w:sdtPr>
                              <w:rPr>
                                <w:rStyle w:val="SubtleEmphasis"/>
                                <w:rFonts w:cs="Arial"/>
                                <w:color w:val="323232" w:themeColor="text1"/>
                              </w:rPr>
                              <w:alias w:val="Company"/>
                              <w:tag w:val=""/>
                              <w:id w:val="823388284"/>
                              <w:dataBinding w:prefixMappings="xmlns:ns0='http://schemas.openxmlformats.org/officeDocument/2006/extended-properties' " w:xpath="/ns0:Properties[1]/ns0:Company[1]" w:storeItemID="{6668398D-A668-4E3E-A5EB-62B293D839F1}"/>
                              <w:text/>
                            </w:sdtPr>
                            <w:sdtEndPr>
                              <w:rPr>
                                <w:rStyle w:val="SubtleEmphasis"/>
                              </w:rPr>
                            </w:sdtEndPr>
                            <w:sdtContent>
                              <w:p w14:paraId="660BD829" w14:textId="3C606E8F" w:rsidR="00462B63" w:rsidRPr="00F00C3F" w:rsidRDefault="00462B63" w:rsidP="00896AEC">
                                <w:pPr>
                                  <w:pStyle w:val="MainTitle"/>
                                  <w:ind w:right="496"/>
                                  <w:jc w:val="right"/>
                                  <w:rPr>
                                    <w:rStyle w:val="N4TitleChar"/>
                                    <w:rFonts w:cs="Arial"/>
                                    <w:caps w:val="0"/>
                                    <w:color w:val="323232" w:themeColor="text1"/>
                                    <w:sz w:val="20"/>
                                    <w:szCs w:val="20"/>
                                  </w:rPr>
                                </w:pPr>
                                <w:r w:rsidRPr="00F00C3F">
                                  <w:rPr>
                                    <w:rStyle w:val="SubtleEmphasis"/>
                                    <w:rFonts w:cs="Arial"/>
                                    <w:color w:val="323232" w:themeColor="text1"/>
                                  </w:rPr>
                                  <w:t>Node4 Limited</w:t>
                                </w:r>
                              </w:p>
                            </w:sdtContent>
                          </w:sdt>
                          <w:sdt>
                            <w:sdtPr>
                              <w:rPr>
                                <w:rStyle w:val="Emphasis"/>
                                <w:rFonts w:cs="Arial"/>
                                <w:b w:val="0"/>
                              </w:rPr>
                              <w:alias w:val="Publish Date"/>
                              <w:tag w:val=""/>
                              <w:id w:val="1041089247"/>
                              <w:dataBinding w:prefixMappings="xmlns:ns0='http://schemas.microsoft.com/office/2006/coverPageProps' " w:xpath="/ns0:CoverPageProperties[1]/ns0:PublishDate[1]" w:storeItemID="{55AF091B-3C7A-41E3-B477-F2FDAA23CFDA}"/>
                              <w:date w:fullDate="2017-07-28T00:00:00Z">
                                <w:dateFormat w:val="dd/MM/yyyy"/>
                                <w:lid w:val="en-GB"/>
                                <w:storeMappedDataAs w:val="dateTime"/>
                                <w:calendar w:val="gregorian"/>
                              </w:date>
                            </w:sdtPr>
                            <w:sdtEndPr>
                              <w:rPr>
                                <w:rStyle w:val="Emphasis"/>
                              </w:rPr>
                            </w:sdtEndPr>
                            <w:sdtContent>
                              <w:p w14:paraId="6F70918E" w14:textId="4A328436" w:rsidR="00462B63" w:rsidRPr="00F00C3F" w:rsidRDefault="001216E1" w:rsidP="00A04071">
                                <w:pPr>
                                  <w:ind w:right="496"/>
                                  <w:jc w:val="right"/>
                                  <w:rPr>
                                    <w:rStyle w:val="Emphasis"/>
                                    <w:rFonts w:cs="Arial"/>
                                    <w:b w:val="0"/>
                                  </w:rPr>
                                </w:pPr>
                                <w:r>
                                  <w:rPr>
                                    <w:rStyle w:val="Emphasis"/>
                                    <w:rFonts w:cs="Arial"/>
                                    <w:b w:val="0"/>
                                  </w:rPr>
                                  <w:t>28</w:t>
                                </w:r>
                                <w:r w:rsidR="00797E34">
                                  <w:rPr>
                                    <w:rStyle w:val="Emphasis"/>
                                    <w:rFonts w:cs="Arial"/>
                                    <w:b w:val="0"/>
                                  </w:rPr>
                                  <w:t>/</w:t>
                                </w:r>
                                <w:r w:rsidR="00462B63" w:rsidRPr="00F00C3F">
                                  <w:rPr>
                                    <w:rStyle w:val="Emphasis"/>
                                    <w:rFonts w:cs="Arial"/>
                                    <w:b w:val="0"/>
                                  </w:rPr>
                                  <w:t>0</w:t>
                                </w:r>
                                <w:r w:rsidR="00797E34">
                                  <w:rPr>
                                    <w:rStyle w:val="Emphasis"/>
                                    <w:rFonts w:cs="Arial"/>
                                    <w:b w:val="0"/>
                                  </w:rPr>
                                  <w:t>7/2017</w:t>
                                </w:r>
                              </w:p>
                            </w:sdtContent>
                          </w:sdt>
                          <w:p w14:paraId="5AB4E343" w14:textId="77777777" w:rsidR="00462B63" w:rsidRDefault="00462B63" w:rsidP="00A04071">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BB20BFA" id="_x0000_t202" coordsize="21600,21600" o:spt="202" path="m,l,21600r21600,l21600,xe">
                <v:stroke joinstyle="miter"/>
                <v:path gradientshapeok="t" o:connecttype="rect"/>
              </v:shapetype>
              <v:shape id="Text Box 39" o:spid="_x0000_s1026" type="#_x0000_t202" style="position:absolute;left:0;text-align:left;margin-left:-10.65pt;margin-top:272.45pt;width:503pt;height:222pt;z-index:251662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" filled="f" stroked="f">
                <v:textbox>
                  <w:txbxContent>
                    <w:p w14:paraId="7CF0164E" w14:textId="3CDF6BCF" w:rsidR="00462B63" w:rsidRDefault="00D17BB8" w:rsidP="00A04071">
                      <w:pPr>
                        <w:pStyle w:val="MainTitle"/>
                        <w:tabs>
                          <w:tab w:val="left" w:pos="4111"/>
                        </w:tabs>
                        <w:ind w:right="496"/>
                        <w:jc w:val="right"/>
                        <w:rPr>
                          <w:rStyle w:val="TitleChar"/>
                        </w:rPr>
                      </w:pPr>
                      <w:sdt>
                        <w:sdtPr>
                          <w:rPr>
                            <w:rFonts w:eastAsia="MS Mincho"/>
                            <w:caps/>
                            <w:color w:val="323232" w:themeColor="text1"/>
                            <w:spacing w:val="10"/>
                            <w:kern w:val="28"/>
                            <w:sz w:val="28"/>
                            <w:szCs w:val="28"/>
                            <w:lang w:val="en-US" w:bidi="en-US"/>
                          </w:rPr>
                          <w:alias w:val="Title"/>
                          <w:tag w:val=""/>
                          <w:id w:val="-1458333232"/>
                          <w:placeholder>
                            <w:docPart w:val="3C00D643C283324FBBF4CDCD169D1C89"/>
                          </w:placeholder>
                          <w:dataBinding w:prefixMappings="xmlns:ns0='http://purl.org/dc/elements/1.1/' xmlns:ns1='http://schemas.openxmlformats.org/package/2006/metadata/core-properties' " w:xpath="/ns1:coreProperties[1]/ns0:title[1]" w:storeItemID="{6C3C8BC8-F283-45AE-878A-BAB7291924A1}"/>
                          <w:text/>
                        </w:sdtPr>
                        <w:sdtEndPr>
                          <w:rPr>
                            <w:rFonts w:eastAsia="Trebuchet MS"/>
                            <w:caps w:val="0"/>
                            <w:spacing w:val="0"/>
                            <w:kern w:val="0"/>
                            <w:sz w:val="40"/>
                            <w:szCs w:val="40"/>
                            <w:lang w:val="en-GB" w:bidi="ar-SA"/>
                          </w:rPr>
                        </w:sdtEndPr>
                        <w:sdtContent>
                          <w:r w:rsidR="00BD4FA9">
                            <w:rPr>
                              <w:color w:val="323232" w:themeColor="text1"/>
                            </w:rPr>
                            <w:t>Schedule d</w:t>
                          </w:r>
                          <w:r w:rsidR="001216E1">
                            <w:rPr>
                              <w:color w:val="323232" w:themeColor="text1"/>
                            </w:rPr>
                            <w:t>ocument</w:t>
                          </w:r>
                        </w:sdtContent>
                      </w:sdt>
                    </w:p>
                    <w:sdt>
                      <w:sdtPr>
                        <w:rPr>
                          <w:color w:val="F79220"/>
                        </w:rPr>
                        <w:alias w:val="Subject"/>
                        <w:tag w:val=""/>
                        <w:id w:val="1070621246"/>
                        <w:placeholder>
                          <w:docPart w:val="6C054F4347B3CC45849FF3316CA2A3F9"/>
                        </w:placeholder>
                        <w:dataBinding w:prefixMappings="xmlns:ns0='http://purl.org/dc/elements/1.1/' xmlns:ns1='http://schemas.openxmlformats.org/package/2006/metadata/core-properties' " w:xpath="/ns1:coreProperties[1]/ns0:subject[1]" w:storeItemID="{6C3C8BC8-F283-45AE-878A-BAB7291924A1}"/>
                        <w:text/>
                      </w:sdtPr>
                      <w:sdtEndPr/>
                      <w:sdtContent>
                        <w:p w14:paraId="2194AA32" w14:textId="66947618" w:rsidR="00462B63" w:rsidRPr="00536852" w:rsidRDefault="007E2E1C" w:rsidP="00D15A65">
                          <w:pPr>
                            <w:pStyle w:val="Heading2"/>
                            <w:numPr>
                              <w:ilvl w:val="0"/>
                              <w:numId w:val="0"/>
                            </w:numPr>
                            <w:ind w:left="357" w:right="496"/>
                            <w:jc w:val="right"/>
                            <w:rPr>
                              <w:color w:val="F79220"/>
                            </w:rPr>
                          </w:pPr>
                          <w:r>
                            <w:rPr>
                              <w:color w:val="F79220"/>
                            </w:rPr>
                            <w:t>N4</w:t>
                          </w:r>
                          <w:r w:rsidR="001216E1" w:rsidRPr="00536852">
                            <w:rPr>
                              <w:color w:val="F79220"/>
                            </w:rPr>
                            <w:t xml:space="preserve">Protect DDOS </w:t>
                          </w:r>
                          <w:r>
                            <w:rPr>
                              <w:color w:val="F79220"/>
                            </w:rPr>
                            <w:t xml:space="preserve">and N4Protect DDoS+ </w:t>
                          </w:r>
                          <w:r w:rsidR="001216E1" w:rsidRPr="00536852">
                            <w:rPr>
                              <w:color w:val="F79220"/>
                            </w:rPr>
                            <w:t>Service</w:t>
                          </w:r>
                        </w:p>
                      </w:sdtContent>
                    </w:sdt>
                    <w:sdt>
                      <w:sdtPr>
                        <w:alias w:val="Security Level Input"/>
                        <w:tag w:val="Security Level Input"/>
                        <w:id w:val="-1061325534"/>
                        <w:dataBinding w:prefixMappings="xmlns:ns0='Security Type' " w:xpath="/ns0:root[1]/ns0:Security[1]" w:storeItemID="{3B0260BB-1140-42BD-B14A-DF7052E49D72}"/>
                        <w:dropDownList w:lastValue="Public">
                          <w:listItem w:displayText="Choose a Security Option" w:value="Security Option Not Selected"/>
                          <w:listItem w:displayText="Public" w:value="Public"/>
                          <w:listItem w:displayText="Partner Only" w:value="Partner Only"/>
                          <w:listItem w:displayText="Internal Use Only" w:value="Internal Use Only"/>
                          <w:listItem w:displayText="Confidential" w:value="Confidential"/>
                        </w:dropDownList>
                      </w:sdtPr>
                      <w:sdtEndPr/>
                      <w:sdtContent>
                        <w:p w14:paraId="29C6BE68" w14:textId="03EE2DFB" w:rsidR="00462B63" w:rsidRPr="00F00C3F" w:rsidRDefault="00462B63" w:rsidP="008119B0">
                          <w:pPr>
                            <w:pStyle w:val="Heading4"/>
                            <w:ind w:left="720" w:right="424"/>
                            <w:jc w:val="right"/>
                            <w:rPr>
                              <w:rFonts w:eastAsia="Trebuchet MS"/>
                              <w:caps/>
                              <w:sz w:val="20"/>
                              <w:szCs w:val="20"/>
                            </w:rPr>
                          </w:pPr>
                          <w:r w:rsidRPr="00F00C3F">
                            <w:t>Public</w:t>
                          </w:r>
                        </w:p>
                      </w:sdtContent>
                    </w:sdt>
                    <w:sdt>
                      <w:sdtPr>
                        <w:rPr>
                          <w:rStyle w:val="SubtleEmphasis"/>
                          <w:rFonts w:cs="Arial"/>
                          <w:color w:val="323232" w:themeColor="text1"/>
                        </w:rPr>
                        <w:alias w:val="Company"/>
                        <w:tag w:val=""/>
                        <w:id w:val="823388284"/>
                        <w:dataBinding w:prefixMappings="xmlns:ns0='http://schemas.openxmlformats.org/officeDocument/2006/extended-properties' " w:xpath="/ns0:Properties[1]/ns0:Company[1]" w:storeItemID="{6668398D-A668-4E3E-A5EB-62B293D839F1}"/>
                        <w:text/>
                      </w:sdtPr>
                      <w:sdtEndPr>
                        <w:rPr>
                          <w:rStyle w:val="SubtleEmphasis"/>
                        </w:rPr>
                      </w:sdtEndPr>
                      <w:sdtContent>
                        <w:p w14:paraId="660BD829" w14:textId="3C606E8F" w:rsidR="00462B63" w:rsidRPr="00F00C3F" w:rsidRDefault="00462B63" w:rsidP="00896AEC">
                          <w:pPr>
                            <w:pStyle w:val="MainTitle"/>
                            <w:ind w:right="496"/>
                            <w:jc w:val="right"/>
                            <w:rPr>
                              <w:rStyle w:val="N4TitleChar"/>
                              <w:rFonts w:cs="Arial"/>
                              <w:caps w:val="0"/>
                              <w:color w:val="323232" w:themeColor="text1"/>
                              <w:sz w:val="20"/>
                              <w:szCs w:val="20"/>
                            </w:rPr>
                          </w:pPr>
                          <w:r w:rsidRPr="00F00C3F">
                            <w:rPr>
                              <w:rStyle w:val="SubtleEmphasis"/>
                              <w:rFonts w:cs="Arial"/>
                              <w:color w:val="323232" w:themeColor="text1"/>
                            </w:rPr>
                            <w:t>Node4 Limited</w:t>
                          </w:r>
                        </w:p>
                      </w:sdtContent>
                    </w:sdt>
                    <w:sdt>
                      <w:sdtPr>
                        <w:rPr>
                          <w:rStyle w:val="Emphasis"/>
                          <w:rFonts w:cs="Arial"/>
                          <w:b w:val="0"/>
                        </w:rPr>
                        <w:alias w:val="Publish Date"/>
                        <w:tag w:val=""/>
                        <w:id w:val="1041089247"/>
                        <w:dataBinding w:prefixMappings="xmlns:ns0='http://schemas.microsoft.com/office/2006/coverPageProps' " w:xpath="/ns0:CoverPageProperties[1]/ns0:PublishDate[1]" w:storeItemID="{55AF091B-3C7A-41E3-B477-F2FDAA23CFDA}"/>
                        <w:date w:fullDate="2017-07-28T00:00:00Z">
                          <w:dateFormat w:val="dd/MM/yyyy"/>
                          <w:lid w:val="en-GB"/>
                          <w:storeMappedDataAs w:val="dateTime"/>
                          <w:calendar w:val="gregorian"/>
                        </w:date>
                      </w:sdtPr>
                      <w:sdtEndPr>
                        <w:rPr>
                          <w:rStyle w:val="Emphasis"/>
                        </w:rPr>
                      </w:sdtEndPr>
                      <w:sdtContent>
                        <w:p w14:paraId="6F70918E" w14:textId="4A328436" w:rsidR="00462B63" w:rsidRPr="00F00C3F" w:rsidRDefault="001216E1" w:rsidP="00A04071">
                          <w:pPr>
                            <w:ind w:right="496"/>
                            <w:jc w:val="right"/>
                            <w:rPr>
                              <w:rStyle w:val="Emphasis"/>
                              <w:rFonts w:cs="Arial"/>
                              <w:b w:val="0"/>
                            </w:rPr>
                          </w:pPr>
                          <w:r>
                            <w:rPr>
                              <w:rStyle w:val="Emphasis"/>
                              <w:rFonts w:cs="Arial"/>
                              <w:b w:val="0"/>
                            </w:rPr>
                            <w:t>28</w:t>
                          </w:r>
                          <w:r w:rsidR="00797E34">
                            <w:rPr>
                              <w:rStyle w:val="Emphasis"/>
                              <w:rFonts w:cs="Arial"/>
                              <w:b w:val="0"/>
                            </w:rPr>
                            <w:t>/</w:t>
                          </w:r>
                          <w:r w:rsidR="00462B63" w:rsidRPr="00F00C3F">
                            <w:rPr>
                              <w:rStyle w:val="Emphasis"/>
                              <w:rFonts w:cs="Arial"/>
                              <w:b w:val="0"/>
                            </w:rPr>
                            <w:t>0</w:t>
                          </w:r>
                          <w:r w:rsidR="00797E34">
                            <w:rPr>
                              <w:rStyle w:val="Emphasis"/>
                              <w:rFonts w:cs="Arial"/>
                              <w:b w:val="0"/>
                            </w:rPr>
                            <w:t>7/2017</w:t>
                          </w:r>
                        </w:p>
                      </w:sdtContent>
                    </w:sdt>
                    <w:p w14:paraId="5AB4E343" w14:textId="77777777" w:rsidR="00462B63" w:rsidRDefault="00462B63" w:rsidP="00A04071">
                      <w:pPr>
                        <w:jc w:val="right"/>
                      </w:pPr>
                    </w:p>
                  </w:txbxContent>
                </v:textbox>
                <w10:wrap type="square"/>
              </v:shape>
            </w:pict>
          </mc:Fallback>
        </mc:AlternateContent>
      </w:r>
      <w:r w:rsidR="00A04071">
        <w:br w:type="page"/>
      </w:r>
    </w:p>
    <w:p w14:paraId="13F52115" w14:textId="41D10D18" w:rsidR="00600920" w:rsidRDefault="00536852" w:rsidP="00536852">
      <w:pPr>
        <w:pStyle w:val="Heading1"/>
      </w:pPr>
      <w:r>
        <w:lastRenderedPageBreak/>
        <w:t>Schedule Document</w:t>
      </w:r>
    </w:p>
    <w:p w14:paraId="2056D1EC" w14:textId="68F265C8" w:rsidR="007E2E1C" w:rsidRPr="00BD4FA9" w:rsidRDefault="007E2E1C" w:rsidP="006C0EA1">
      <w:pPr>
        <w:pStyle w:val="Heading2"/>
        <w:numPr>
          <w:ilvl w:val="0"/>
          <w:numId w:val="0"/>
        </w:numPr>
        <w:ind w:left="357" w:hanging="357"/>
        <w:jc w:val="left"/>
        <w:rPr>
          <w:rFonts w:cs="Arial"/>
        </w:rPr>
      </w:pPr>
      <w:r w:rsidRPr="00BD4FA9">
        <w:rPr>
          <w:rFonts w:cs="Arial"/>
        </w:rPr>
        <w:t>N4Protect DDoS and N4Protect DDoS+</w:t>
      </w:r>
    </w:p>
    <w:p w14:paraId="02FDA4E0" w14:textId="7233F987" w:rsidR="00536852" w:rsidRDefault="00536852" w:rsidP="007E2E1C">
      <w:r>
        <w:t xml:space="preserve">This schedule contains additional terms and conditions, service description &amp; Service Levels applicable to the Node4 Protect </w:t>
      </w:r>
      <w:r w:rsidR="007E2E1C">
        <w:t>D</w:t>
      </w:r>
      <w:r>
        <w:t xml:space="preserve">DoS Service and should be viewed with associated Order Form, Node4’s General Terms and Conditions and the Acceptable Use Policy. </w:t>
      </w:r>
    </w:p>
    <w:p w14:paraId="2CAFF77B" w14:textId="1B956B4F" w:rsidR="00536852" w:rsidRDefault="00536852" w:rsidP="007E2E1C">
      <w:pPr>
        <w:pStyle w:val="Heading2"/>
      </w:pPr>
      <w:r w:rsidRPr="00536852">
        <w:t>O</w:t>
      </w:r>
      <w:r w:rsidR="006C0EA1" w:rsidRPr="00536852">
        <w:t>verview</w:t>
      </w:r>
      <w:r w:rsidRPr="00536852">
        <w:t xml:space="preserve"> </w:t>
      </w:r>
    </w:p>
    <w:p w14:paraId="62DFFB48" w14:textId="77777777" w:rsidR="00536852" w:rsidRDefault="00536852" w:rsidP="00797E34">
      <w:r>
        <w:t xml:space="preserve">The Node4 N4Protect DDoS service provides the Customer with a managed two-element service to mitigate against DDoS attacks. </w:t>
      </w:r>
    </w:p>
    <w:p w14:paraId="39B8C034" w14:textId="7BE879FD" w:rsidR="00536852" w:rsidRPr="00536852" w:rsidRDefault="007E2E1C" w:rsidP="007E2E1C">
      <w:pPr>
        <w:pStyle w:val="Heading3"/>
      </w:pPr>
      <w:r>
        <w:t xml:space="preserve"> </w:t>
      </w:r>
      <w:r w:rsidR="00BD4FA9">
        <w:t>Appliance s</w:t>
      </w:r>
      <w:r w:rsidR="00536852">
        <w:t>ervice</w:t>
      </w:r>
      <w:r w:rsidR="00536852" w:rsidRPr="00536852">
        <w:t xml:space="preserve"> N4</w:t>
      </w:r>
      <w:r>
        <w:t>Protect</w:t>
      </w:r>
      <w:r w:rsidR="00536852">
        <w:t xml:space="preserve"> </w:t>
      </w:r>
      <w:proofErr w:type="spellStart"/>
      <w:r w:rsidR="00536852">
        <w:t>DD</w:t>
      </w:r>
      <w:r>
        <w:t>o</w:t>
      </w:r>
      <w:r w:rsidR="00536852">
        <w:t>S</w:t>
      </w:r>
      <w:proofErr w:type="spellEnd"/>
      <w:r w:rsidR="00536852">
        <w:t>+ (Proactive</w:t>
      </w:r>
      <w:r w:rsidR="00536852" w:rsidRPr="00536852">
        <w:t xml:space="preserve">) </w:t>
      </w:r>
    </w:p>
    <w:p w14:paraId="5CA06CF7" w14:textId="77777777" w:rsidR="00536852" w:rsidRDefault="00536852" w:rsidP="007E2E1C">
      <w:r>
        <w:t xml:space="preserve">The in-line appliance service N4DDOS+ provides a heuristics-based mitigation of application layer DDoS attacks including: </w:t>
      </w:r>
    </w:p>
    <w:p w14:paraId="1C2BFED3" w14:textId="2E88C48E" w:rsidR="00536852" w:rsidRDefault="007E2E1C" w:rsidP="007E2E1C">
      <w:pPr>
        <w:pStyle w:val="ListParagraph"/>
        <w:ind w:left="993"/>
      </w:pPr>
      <w:r>
        <w:t>HTTP-GET Attacks</w:t>
      </w:r>
    </w:p>
    <w:p w14:paraId="2DC3497C" w14:textId="2512322D" w:rsidR="00536852" w:rsidRDefault="007E2E1C" w:rsidP="007E2E1C">
      <w:pPr>
        <w:pStyle w:val="ListParagraph"/>
        <w:ind w:left="993"/>
      </w:pPr>
      <w:r>
        <w:t>HTTP-PST Attacks</w:t>
      </w:r>
    </w:p>
    <w:p w14:paraId="2E2D8AEB" w14:textId="7FD9492D" w:rsidR="00536852" w:rsidRDefault="007E2E1C" w:rsidP="007E2E1C">
      <w:pPr>
        <w:pStyle w:val="ListParagraph"/>
        <w:ind w:left="993"/>
      </w:pPr>
      <w:r>
        <w:t>SSL Attacks</w:t>
      </w:r>
    </w:p>
    <w:p w14:paraId="74CB6F40" w14:textId="35781D4F" w:rsidR="00536852" w:rsidRDefault="00536852" w:rsidP="007E2E1C">
      <w:pPr>
        <w:pStyle w:val="ListParagraph"/>
        <w:ind w:left="993"/>
      </w:pPr>
      <w:r>
        <w:t>N4</w:t>
      </w:r>
      <w:r w:rsidR="007E2E1C">
        <w:t>Protect DDo</w:t>
      </w:r>
      <w:r>
        <w:t>S+ als</w:t>
      </w:r>
      <w:r w:rsidR="007E2E1C">
        <w:t xml:space="preserve">o includes N4Protect </w:t>
      </w:r>
      <w:proofErr w:type="spellStart"/>
      <w:r w:rsidR="007E2E1C">
        <w:t>DDoS</w:t>
      </w:r>
      <w:proofErr w:type="spellEnd"/>
      <w:r w:rsidR="007E2E1C">
        <w:t xml:space="preserve"> </w:t>
      </w:r>
      <w:proofErr w:type="spellStart"/>
      <w:r w:rsidR="007E2E1C">
        <w:t>NetScrubbing</w:t>
      </w:r>
      <w:proofErr w:type="spellEnd"/>
    </w:p>
    <w:p w14:paraId="0327ED5B" w14:textId="2198A251" w:rsidR="00536852" w:rsidRDefault="007E2E1C" w:rsidP="007E2E1C">
      <w:pPr>
        <w:pStyle w:val="ListParagraph"/>
        <w:ind w:left="993"/>
      </w:pPr>
      <w:r>
        <w:t>Others</w:t>
      </w:r>
    </w:p>
    <w:p w14:paraId="243E8725" w14:textId="3E3F94FD" w:rsidR="00536852" w:rsidRPr="00536852" w:rsidRDefault="007E2E1C" w:rsidP="007E2E1C">
      <w:pPr>
        <w:pStyle w:val="Heading3"/>
      </w:pPr>
      <w:r>
        <w:t xml:space="preserve"> </w:t>
      </w:r>
      <w:proofErr w:type="spellStart"/>
      <w:r w:rsidR="00536852">
        <w:t>Net</w:t>
      </w:r>
      <w:r w:rsidR="006C0EA1">
        <w:t>S</w:t>
      </w:r>
      <w:r w:rsidR="00BD4FA9">
        <w:t>crubbing</w:t>
      </w:r>
      <w:proofErr w:type="spellEnd"/>
      <w:r w:rsidR="00BD4FA9">
        <w:t xml:space="preserve"> s</w:t>
      </w:r>
      <w:r w:rsidR="00536852">
        <w:t>ervice</w:t>
      </w:r>
      <w:r w:rsidR="00536852" w:rsidRPr="00536852">
        <w:t xml:space="preserve"> N4</w:t>
      </w:r>
      <w:r>
        <w:t>Protect</w:t>
      </w:r>
      <w:r w:rsidR="00536852">
        <w:t xml:space="preserve"> </w:t>
      </w:r>
      <w:proofErr w:type="spellStart"/>
      <w:r>
        <w:t>DDo</w:t>
      </w:r>
      <w:r w:rsidR="00536852" w:rsidRPr="00536852">
        <w:t>S</w:t>
      </w:r>
      <w:proofErr w:type="spellEnd"/>
      <w:r w:rsidR="00536852" w:rsidRPr="00536852">
        <w:t xml:space="preserve"> (</w:t>
      </w:r>
      <w:r w:rsidR="00536852">
        <w:t>Re-Active</w:t>
      </w:r>
      <w:r w:rsidR="00536852" w:rsidRPr="00536852">
        <w:t xml:space="preserve">) </w:t>
      </w:r>
    </w:p>
    <w:p w14:paraId="5DA5D4FF" w14:textId="510EA702" w:rsidR="00536852" w:rsidRDefault="00536852" w:rsidP="007E2E1C">
      <w:r>
        <w:t>The net scrubbing service N4</w:t>
      </w:r>
      <w:r w:rsidR="007E2E1C">
        <w:t>Protect DDo</w:t>
      </w:r>
      <w:r>
        <w:t xml:space="preserve">S mitigates volumetric DDoS attacks including: </w:t>
      </w:r>
    </w:p>
    <w:p w14:paraId="326176E1" w14:textId="10F7B32F" w:rsidR="00536852" w:rsidRDefault="00536852" w:rsidP="007E2E1C">
      <w:pPr>
        <w:pStyle w:val="ListParagraph"/>
        <w:ind w:left="993"/>
      </w:pPr>
      <w:r>
        <w:t xml:space="preserve">TCP SYN Floods *SYN, SYN ACK, etc.) </w:t>
      </w:r>
    </w:p>
    <w:p w14:paraId="71AD2D22" w14:textId="4F3B61F6" w:rsidR="00536852" w:rsidRDefault="00536852" w:rsidP="007E2E1C">
      <w:pPr>
        <w:pStyle w:val="ListParagraph"/>
        <w:ind w:left="993"/>
      </w:pPr>
      <w:r>
        <w:t xml:space="preserve">ICMP Flood Attacks (Ping Barrage, Smurf, etc.) </w:t>
      </w:r>
    </w:p>
    <w:p w14:paraId="4C11E1F4" w14:textId="2C562841" w:rsidR="00536852" w:rsidRDefault="00536852" w:rsidP="007E2E1C">
      <w:pPr>
        <w:pStyle w:val="ListParagraph"/>
        <w:ind w:left="993"/>
      </w:pPr>
      <w:r>
        <w:t>UDP Flood Attacks (</w:t>
      </w:r>
      <w:proofErr w:type="spellStart"/>
      <w:r>
        <w:t>UDP</w:t>
      </w:r>
      <w:proofErr w:type="spellEnd"/>
      <w:r>
        <w:t xml:space="preserve"> Barrage, </w:t>
      </w:r>
      <w:proofErr w:type="spellStart"/>
      <w:r>
        <w:t>Fraggle</w:t>
      </w:r>
      <w:proofErr w:type="spellEnd"/>
      <w:r>
        <w:t xml:space="preserve">, Etc.) </w:t>
      </w:r>
    </w:p>
    <w:p w14:paraId="1F4B7BF8" w14:textId="48478C6E" w:rsidR="00536852" w:rsidRDefault="00536852" w:rsidP="007E2E1C">
      <w:pPr>
        <w:pStyle w:val="ListParagraph"/>
        <w:ind w:left="993"/>
      </w:pPr>
      <w:r>
        <w:t xml:space="preserve">Reflection Attacks </w:t>
      </w:r>
    </w:p>
    <w:p w14:paraId="754E6121" w14:textId="14C6A590" w:rsidR="00536852" w:rsidRDefault="00536852" w:rsidP="007E2E1C">
      <w:pPr>
        <w:pStyle w:val="ListParagraph"/>
        <w:ind w:left="993"/>
      </w:pPr>
      <w:r>
        <w:t xml:space="preserve">Others </w:t>
      </w:r>
    </w:p>
    <w:p w14:paraId="6FFFEFE4" w14:textId="7433987F" w:rsidR="00536852" w:rsidRDefault="00536852" w:rsidP="00797E34">
      <w:r>
        <w:t xml:space="preserve">The </w:t>
      </w:r>
      <w:proofErr w:type="spellStart"/>
      <w:r>
        <w:t>NetScrubbing</w:t>
      </w:r>
      <w:proofErr w:type="spellEnd"/>
      <w:r>
        <w:t xml:space="preserve"> service is activated by Node4 engineers for each N4Protect DDoS customer when a service impacting volumetric attack event is identified (impacting service to that customer or Node4s network). This service is active for the duration of that attac</w:t>
      </w:r>
      <w:r w:rsidR="007E2E1C">
        <w:t>k.</w:t>
      </w:r>
    </w:p>
    <w:p w14:paraId="2C469547" w14:textId="78EA41FF" w:rsidR="00536852" w:rsidRPr="00536852" w:rsidRDefault="00536852" w:rsidP="007E2E1C">
      <w:pPr>
        <w:pStyle w:val="Heading2"/>
      </w:pPr>
      <w:r>
        <w:t>Definitions</w:t>
      </w:r>
    </w:p>
    <w:p w14:paraId="16BBBF65" w14:textId="77777777" w:rsidR="00536852" w:rsidRDefault="00536852" w:rsidP="00797E34">
      <w:r w:rsidRPr="00536852">
        <w:rPr>
          <w:b/>
        </w:rPr>
        <w:t>“Centralised Internet Breakout (CIB)”</w:t>
      </w:r>
      <w:r>
        <w:t xml:space="preserve"> a Node4 service providing customers with internet access from the core network with optional resilience. </w:t>
      </w:r>
    </w:p>
    <w:p w14:paraId="0E5FA147" w14:textId="77777777" w:rsidR="00536852" w:rsidRDefault="00536852" w:rsidP="00797E34">
      <w:r w:rsidRPr="00536852">
        <w:rPr>
          <w:b/>
        </w:rPr>
        <w:t>“Customer Responsible Faults”</w:t>
      </w:r>
      <w:r>
        <w:t xml:space="preserve"> means in the event that a Service Affecting or Non-Service Affecting Fault is identified as being attributable to Customer Provided Equipment, Premises, Customer power supplies, or the action of the Customer, employees or agents of the Customer, the fault shall be deemed the responsibility of the Customer. Any downtime shall not be included in service availability measurements and does not qualify for compensation. </w:t>
      </w:r>
    </w:p>
    <w:p w14:paraId="6AAAB588" w14:textId="77777777" w:rsidR="00536852" w:rsidRDefault="00536852" w:rsidP="00797E34">
      <w:r w:rsidRPr="00536852">
        <w:rPr>
          <w:b/>
        </w:rPr>
        <w:t>“DDoS”</w:t>
      </w:r>
      <w:r>
        <w:t xml:space="preserve"> – means Distributed Denial of Service</w:t>
      </w:r>
    </w:p>
    <w:p w14:paraId="3942FB29" w14:textId="77777777" w:rsidR="00536852" w:rsidRDefault="00536852" w:rsidP="00797E34">
      <w:r>
        <w:t xml:space="preserve"> </w:t>
      </w:r>
      <w:r w:rsidRPr="00536852">
        <w:rPr>
          <w:b/>
        </w:rPr>
        <w:t>“Event Fee”</w:t>
      </w:r>
      <w:r>
        <w:t xml:space="preserve"> means a charge incurred when a volumetric DDoS attack is mitigated </w:t>
      </w:r>
    </w:p>
    <w:p w14:paraId="6FF15F3E" w14:textId="77777777" w:rsidR="00536852" w:rsidRDefault="00536852" w:rsidP="00797E34">
      <w:r w:rsidRPr="00536852">
        <w:rPr>
          <w:b/>
        </w:rPr>
        <w:t>“Fault Ticket Number”</w:t>
      </w:r>
      <w:r>
        <w:t xml:space="preserve"> means the unique number issued when logging a fault with Node4. </w:t>
      </w:r>
    </w:p>
    <w:p w14:paraId="391AF35F" w14:textId="77777777" w:rsidR="00536852" w:rsidRDefault="00536852" w:rsidP="00797E34">
      <w:r w:rsidRPr="00536852">
        <w:rPr>
          <w:b/>
        </w:rPr>
        <w:t>“Installation Fees”</w:t>
      </w:r>
      <w:r>
        <w:t xml:space="preserve"> means charges payable by the Customer for the installation of Services as provided in the Order Form; </w:t>
      </w:r>
    </w:p>
    <w:p w14:paraId="3505ED49" w14:textId="77777777" w:rsidR="006F0B28" w:rsidRDefault="00536852" w:rsidP="00797E34">
      <w:r w:rsidRPr="00536852">
        <w:rPr>
          <w:b/>
        </w:rPr>
        <w:t>“Monthly Review Period”</w:t>
      </w:r>
      <w:r>
        <w:t xml:space="preserve"> means the calendar monthly periods commencing on the 1st of each month during the Term, over which Service performance measurements are calculated, provided that the first Monthly Review Period will commence on Ready For Service Notification; </w:t>
      </w:r>
    </w:p>
    <w:p w14:paraId="4D55A95F" w14:textId="462DB4BC" w:rsidR="006F0B28" w:rsidRDefault="00536852" w:rsidP="00797E34">
      <w:r w:rsidRPr="006F0B28">
        <w:rPr>
          <w:b/>
        </w:rPr>
        <w:t>“</w:t>
      </w:r>
      <w:proofErr w:type="spellStart"/>
      <w:r w:rsidRPr="006F0B28">
        <w:rPr>
          <w:b/>
        </w:rPr>
        <w:t>NetScrubbing</w:t>
      </w:r>
      <w:proofErr w:type="spellEnd"/>
      <w:r w:rsidRPr="006F0B28">
        <w:rPr>
          <w:b/>
        </w:rPr>
        <w:t xml:space="preserve"> Service”</w:t>
      </w:r>
      <w:r>
        <w:t xml:space="preserve"> means the service provided from the Node4 network core in which a customer’s IP range is redirected to a system for the duration of a Volumetric DDoS attack; </w:t>
      </w:r>
    </w:p>
    <w:p w14:paraId="081927E7" w14:textId="77777777" w:rsidR="006F0B28" w:rsidRDefault="00536852" w:rsidP="00797E34">
      <w:r w:rsidRPr="006F0B28">
        <w:rPr>
          <w:b/>
        </w:rPr>
        <w:t>“Network Management System”</w:t>
      </w:r>
      <w:r>
        <w:t xml:space="preserve"> means Node4’s network integrated fault management system; </w:t>
      </w:r>
    </w:p>
    <w:p w14:paraId="08C2F605" w14:textId="77777777" w:rsidR="006F0B28" w:rsidRDefault="00536852" w:rsidP="00797E34">
      <w:r w:rsidRPr="006F0B28">
        <w:rPr>
          <w:b/>
        </w:rPr>
        <w:t>“Node4 Network”</w:t>
      </w:r>
      <w:r>
        <w:t xml:space="preserve"> means the network wholly owned and managed by Node4; </w:t>
      </w:r>
    </w:p>
    <w:p w14:paraId="4B02A1CB" w14:textId="77777777" w:rsidR="006F0B28" w:rsidRDefault="00536852" w:rsidP="00797E34">
      <w:r w:rsidRPr="006F0B28">
        <w:rPr>
          <w:b/>
        </w:rPr>
        <w:t>“Non-Service Affecting Fault”</w:t>
      </w:r>
      <w:r>
        <w:t xml:space="preserve"> means a fault or condition which is not a Service Affecting Fault. </w:t>
      </w:r>
    </w:p>
    <w:p w14:paraId="5D0C1337" w14:textId="5B8D0030" w:rsidR="00797E34" w:rsidRDefault="00536852" w:rsidP="00797E34">
      <w:r w:rsidRPr="006F0B28">
        <w:rPr>
          <w:b/>
        </w:rPr>
        <w:t>“Planned Outage”</w:t>
      </w:r>
      <w:r>
        <w:t xml:space="preserve"> means in maintaining the service provided, Node4 may with reasonable notice require a temporary outage in service. Wherever </w:t>
      </w:r>
      <w:r>
        <w:lastRenderedPageBreak/>
        <w:t>possible Node4 will agree the outage with you in</w:t>
      </w:r>
      <w:r w:rsidR="006F0B28">
        <w:t xml:space="preserve"> advance of the required work. Any planned downtime shall not be included in fault or service reliability measurements;</w:t>
      </w:r>
    </w:p>
    <w:p w14:paraId="1D19BC05" w14:textId="77777777" w:rsidR="001B32A7" w:rsidRDefault="001B32A7" w:rsidP="00797E34">
      <w:r w:rsidRPr="001B32A7">
        <w:rPr>
          <w:b/>
        </w:rPr>
        <w:t xml:space="preserve">“Service Affecting Fault (SAF)” </w:t>
      </w:r>
      <w:r>
        <w:t xml:space="preserve">means any failure of Node4 Network, equipment or service, which, in our reasonable opinion causes a loss of a customer’s service. In all such cases the service shall be deemed unavailable and the length of downtime recorded by Node4 from when the fault is registered by Node4 and a fault ticket number allocated. </w:t>
      </w:r>
    </w:p>
    <w:p w14:paraId="0E2C8DF8" w14:textId="77777777" w:rsidR="001B32A7" w:rsidRDefault="001B32A7" w:rsidP="00797E34">
      <w:r w:rsidRPr="001B32A7">
        <w:rPr>
          <w:b/>
        </w:rPr>
        <w:t>“Service Availability”</w:t>
      </w:r>
      <w:r>
        <w:t xml:space="preserve"> means the time for which a Node4 service is usable, expressed as a percentage of the total time in a given Monthly Review Period. The Node4 service shall be deemed available for the purposes of calculating Service Availability if it is not usable due to an event outside our reasonable control, a Customer Responsible Fault, a Third Party Attributable Fault or is due to a Planned Outage. </w:t>
      </w:r>
    </w:p>
    <w:p w14:paraId="1BD9A870" w14:textId="77777777" w:rsidR="001B32A7" w:rsidRDefault="001B32A7" w:rsidP="00797E34">
      <w:r w:rsidRPr="001B32A7">
        <w:rPr>
          <w:b/>
        </w:rPr>
        <w:t>“Technical Support Centre”</w:t>
      </w:r>
      <w:r>
        <w:t xml:space="preserve"> means Node4’s fault management centre, which operates the Node4 Network Management System; </w:t>
      </w:r>
    </w:p>
    <w:p w14:paraId="3CC4C96E" w14:textId="77777777" w:rsidR="001B32A7" w:rsidRDefault="001B32A7" w:rsidP="00797E34">
      <w:r w:rsidRPr="001B32A7">
        <w:rPr>
          <w:b/>
        </w:rPr>
        <w:t xml:space="preserve">“Third Party Attributable Faults” </w:t>
      </w:r>
      <w:r>
        <w:t xml:space="preserve">means in the event that a Service Affecting or Non-Service Affecting Fault is identified as being attributable to a third party this measurement period shall not be included in service availability measurements. Such faults do not qualify for rebates or compensation. Node4 will endeavour to resolve and rectify such Third Party Attributable Faults as soon as possible. </w:t>
      </w:r>
    </w:p>
    <w:p w14:paraId="43F3CC2E" w14:textId="76822ED6" w:rsidR="001B32A7" w:rsidRDefault="001B32A7" w:rsidP="00797E34">
      <w:r w:rsidRPr="001B32A7">
        <w:rPr>
          <w:b/>
        </w:rPr>
        <w:t xml:space="preserve">“Time </w:t>
      </w:r>
      <w:proofErr w:type="gramStart"/>
      <w:r w:rsidRPr="001B32A7">
        <w:rPr>
          <w:b/>
        </w:rPr>
        <w:t>To</w:t>
      </w:r>
      <w:proofErr w:type="gramEnd"/>
      <w:r w:rsidRPr="001B32A7">
        <w:rPr>
          <w:b/>
        </w:rPr>
        <w:t xml:space="preserve"> Resolve Fault (TTRF)” </w:t>
      </w:r>
      <w:r>
        <w:t>means the length of time from the issue of the fault ticket number to repair and resolution or the service circuit and/or associated equipment. “Virtual Domain” A customer’s unique con</w:t>
      </w:r>
      <w:r w:rsidR="007E2E1C">
        <w:t>text within the Node4 Equipment.</w:t>
      </w:r>
    </w:p>
    <w:p w14:paraId="6D4F5075" w14:textId="25875D8F" w:rsidR="001B32A7" w:rsidRDefault="001B32A7" w:rsidP="00797E34">
      <w:r w:rsidRPr="001B32A7">
        <w:rPr>
          <w:b/>
        </w:rPr>
        <w:t>“Volumetric Attack”</w:t>
      </w:r>
      <w:r>
        <w:t xml:space="preserve"> means a DDoS attack intended to paralyse the system or resource through sa</w:t>
      </w:r>
      <w:r w:rsidR="007E2E1C">
        <w:t>turation of the network (</w:t>
      </w:r>
      <w:proofErr w:type="spellStart"/>
      <w:r w:rsidR="007E2E1C">
        <w:t>Gbps</w:t>
      </w:r>
      <w:proofErr w:type="spellEnd"/>
      <w:r w:rsidR="007E2E1C">
        <w:t>).</w:t>
      </w:r>
    </w:p>
    <w:p w14:paraId="0EDC2878" w14:textId="429B458A" w:rsidR="001B32A7" w:rsidRPr="001B32A7" w:rsidRDefault="001B32A7" w:rsidP="007E2E1C">
      <w:pPr>
        <w:pStyle w:val="Heading2"/>
      </w:pPr>
      <w:r w:rsidRPr="001B32A7">
        <w:t>S</w:t>
      </w:r>
      <w:r w:rsidR="00BD4FA9">
        <w:t>pecific t</w:t>
      </w:r>
      <w:r>
        <w:t>erms</w:t>
      </w:r>
      <w:r w:rsidRPr="001B32A7">
        <w:t xml:space="preserve"> </w:t>
      </w:r>
    </w:p>
    <w:p w14:paraId="598D5314" w14:textId="77777777" w:rsidR="001B32A7" w:rsidRDefault="001B32A7" w:rsidP="00797E34">
      <w:r>
        <w:t xml:space="preserve">The following terms and conditions shall apply when Node4 provides N4Protect DDoS Services to the Customer. </w:t>
      </w:r>
    </w:p>
    <w:p w14:paraId="5F4E2612" w14:textId="49638036" w:rsidR="001B32A7" w:rsidRPr="00DB4092" w:rsidRDefault="007E2E1C" w:rsidP="007E2E1C">
      <w:pPr>
        <w:pStyle w:val="Heading3"/>
      </w:pPr>
      <w:r>
        <w:t xml:space="preserve"> </w:t>
      </w:r>
      <w:r w:rsidR="00DB4092">
        <w:t xml:space="preserve">Customer </w:t>
      </w:r>
      <w:r w:rsidR="00BD4FA9">
        <w:t>c</w:t>
      </w:r>
      <w:r w:rsidR="00DB4092">
        <w:t>ooperation</w:t>
      </w:r>
      <w:r w:rsidR="001B32A7" w:rsidRPr="00DB4092">
        <w:t xml:space="preserve"> </w:t>
      </w:r>
    </w:p>
    <w:p w14:paraId="6EE642C7" w14:textId="77777777" w:rsidR="00DB4092" w:rsidRDefault="001B32A7" w:rsidP="00797E34">
      <w:r>
        <w:t xml:space="preserve">Node4 expects any customer to co-operate to provide full notice and visibility of any cyber-attack incident when required, and to treat advanced notification of such as urgent. This may include sharing of information such as ransom emails or telephone calls. </w:t>
      </w:r>
    </w:p>
    <w:p w14:paraId="2266EC71" w14:textId="16810EAF" w:rsidR="00DB4092" w:rsidRPr="00DB4092" w:rsidRDefault="007E2E1C" w:rsidP="007E2E1C">
      <w:pPr>
        <w:pStyle w:val="Heading3"/>
      </w:pPr>
      <w:r>
        <w:t xml:space="preserve"> </w:t>
      </w:r>
      <w:r w:rsidR="00BD4FA9">
        <w:t>Third p</w:t>
      </w:r>
      <w:r w:rsidR="00DB4092">
        <w:t xml:space="preserve">arties </w:t>
      </w:r>
    </w:p>
    <w:p w14:paraId="52FF92F1" w14:textId="77777777" w:rsidR="00DB4092" w:rsidRDefault="001B32A7" w:rsidP="00797E34">
      <w:r>
        <w:t xml:space="preserve">The Customer commits to fully manage all their customers and suppliers directly. Node4 will not interface directly with any third parties working with the Customer unless by prior arrangement. If the Customer requires Node4 to provide their customers with a customer care or NOC service this is available on request and subject to Professional Service Fees. </w:t>
      </w:r>
    </w:p>
    <w:p w14:paraId="076AD1DC" w14:textId="77777777" w:rsidR="00DB4092" w:rsidRDefault="001B32A7" w:rsidP="00797E34">
      <w:r>
        <w:t xml:space="preserve">Node4 shall not be liable in respect of any contract, agreement or relationship that Customer may have with any third party. If a dispute arises between Customer and a third party involving Node4’s N4Protect DDoS service, Node4 shall provide the Customer with reasonable information and assistance (to the extent that such is not adverse to Node4’s interests to Customer (at Customer’s expense)) in the resolution of such dispute. </w:t>
      </w:r>
    </w:p>
    <w:p w14:paraId="5E6BC7CE" w14:textId="208966DF" w:rsidR="00DB4092" w:rsidRPr="00DB4092" w:rsidRDefault="00DB4092" w:rsidP="007E2E1C">
      <w:pPr>
        <w:pStyle w:val="Heading2"/>
      </w:pPr>
      <w:r w:rsidRPr="00DB4092">
        <w:t>Fees</w:t>
      </w:r>
    </w:p>
    <w:p w14:paraId="03657762" w14:textId="77777777" w:rsidR="00DB4092" w:rsidRDefault="001B32A7" w:rsidP="00797E34">
      <w:r>
        <w:t xml:space="preserve">Fees will commence when Ready </w:t>
      </w:r>
      <w:proofErr w:type="gramStart"/>
      <w:r>
        <w:t>For</w:t>
      </w:r>
      <w:proofErr w:type="gramEnd"/>
      <w:r>
        <w:t xml:space="preserve"> Service Notification is provided by Node4 this is following completion of firewall deployment and implementation of initial configuration. </w:t>
      </w:r>
    </w:p>
    <w:p w14:paraId="618D932F" w14:textId="77777777" w:rsidR="00DB4092" w:rsidRDefault="001B32A7" w:rsidP="00797E34">
      <w:r>
        <w:t xml:space="preserve">Fees may comprise any or all of the following. </w:t>
      </w:r>
    </w:p>
    <w:p w14:paraId="34F607DF" w14:textId="1952A726" w:rsidR="00DB4092" w:rsidRPr="00DB4092" w:rsidRDefault="007E2E1C" w:rsidP="007E2E1C">
      <w:pPr>
        <w:pStyle w:val="Heading3"/>
      </w:pPr>
      <w:r>
        <w:t xml:space="preserve"> </w:t>
      </w:r>
      <w:r w:rsidR="00DB4092">
        <w:t xml:space="preserve">Installation and </w:t>
      </w:r>
      <w:r w:rsidR="00BD4FA9">
        <w:t>s</w:t>
      </w:r>
      <w:r w:rsidR="00DB4092">
        <w:t>et-</w:t>
      </w:r>
      <w:r w:rsidR="00BD4FA9">
        <w:t>up f</w:t>
      </w:r>
      <w:r w:rsidR="00DB4092">
        <w:t>ees</w:t>
      </w:r>
      <w:r w:rsidR="001B32A7" w:rsidRPr="00DB4092">
        <w:t xml:space="preserve"> </w:t>
      </w:r>
    </w:p>
    <w:p w14:paraId="6828E691" w14:textId="31A1562F" w:rsidR="00DB4092" w:rsidRDefault="001B32A7" w:rsidP="00797E34">
      <w:r>
        <w:t xml:space="preserve">Any applicable Design, Configuration, and Installation Fees for the implementation of the N4Protect DDoS service shall be detailed on the Order Form. </w:t>
      </w:r>
    </w:p>
    <w:p w14:paraId="6EB13A87" w14:textId="126EFACD" w:rsidR="00DB4092" w:rsidRPr="00DB4092" w:rsidRDefault="007E2E1C" w:rsidP="007E2E1C">
      <w:pPr>
        <w:pStyle w:val="Heading3"/>
      </w:pPr>
      <w:r>
        <w:t xml:space="preserve"> </w:t>
      </w:r>
      <w:r w:rsidR="00BD4FA9">
        <w:t>Rental f</w:t>
      </w:r>
      <w:r w:rsidR="00DB4092">
        <w:t>ees</w:t>
      </w:r>
      <w:r w:rsidR="001B32A7" w:rsidRPr="00DB4092">
        <w:t xml:space="preserve"> </w:t>
      </w:r>
    </w:p>
    <w:p w14:paraId="17273DF3" w14:textId="77777777" w:rsidR="00733442" w:rsidRDefault="001B32A7" w:rsidP="00797E34">
      <w:r>
        <w:t xml:space="preserve">Rental Fees for each service are charged separately and are paid monthly in advance based on the Services N4 Protect DDOS and Internet Bandwidth (CIB). </w:t>
      </w:r>
    </w:p>
    <w:p w14:paraId="4B4D0715" w14:textId="57804135" w:rsidR="001B32A7" w:rsidRDefault="001B32A7" w:rsidP="00797E34">
      <w:r>
        <w:t>Rental Fees are applied as and when the service is made available.</w:t>
      </w:r>
    </w:p>
    <w:p w14:paraId="6E4E35C4" w14:textId="627DAD1B" w:rsidR="00733442" w:rsidRPr="00733442" w:rsidRDefault="007E2E1C" w:rsidP="007E2E1C">
      <w:pPr>
        <w:pStyle w:val="Heading3"/>
      </w:pPr>
      <w:r>
        <w:lastRenderedPageBreak/>
        <w:t xml:space="preserve"> </w:t>
      </w:r>
      <w:r w:rsidR="00733442">
        <w:t xml:space="preserve">Event </w:t>
      </w:r>
      <w:r w:rsidR="00BD4FA9">
        <w:t>f</w:t>
      </w:r>
      <w:r w:rsidR="00733442">
        <w:t>ee</w:t>
      </w:r>
      <w:r w:rsidR="00733442" w:rsidRPr="00733442">
        <w:t xml:space="preserve"> </w:t>
      </w:r>
    </w:p>
    <w:p w14:paraId="0B468BBB" w14:textId="77777777" w:rsidR="00733442" w:rsidRDefault="00733442" w:rsidP="00797E34">
      <w:r>
        <w:t xml:space="preserve">In the event of a volumetric attack the Event Fee is calculated according to the amount of data and the duration of the attack. The following formula is used: </w:t>
      </w:r>
    </w:p>
    <w:p w14:paraId="2A2BD120" w14:textId="77777777" w:rsidR="00733442" w:rsidRPr="006C0EA1" w:rsidRDefault="00733442" w:rsidP="00797E34">
      <w:pPr>
        <w:rPr>
          <w:b/>
        </w:rPr>
      </w:pPr>
      <w:r w:rsidRPr="006C0EA1">
        <w:rPr>
          <w:b/>
        </w:rPr>
        <w:t xml:space="preserve">Event Fee = (Event Data x Event Rate) x (Event Duration/Total Month) </w:t>
      </w:r>
    </w:p>
    <w:p w14:paraId="72947E17" w14:textId="77777777" w:rsidR="00733442" w:rsidRDefault="00733442" w:rsidP="00797E34">
      <w:r>
        <w:t xml:space="preserve">Where; </w:t>
      </w:r>
    </w:p>
    <w:p w14:paraId="7A541B50" w14:textId="4420642F" w:rsidR="00733442" w:rsidRDefault="00733442" w:rsidP="006C0EA1">
      <w:pPr>
        <w:pStyle w:val="ListParagraph"/>
        <w:ind w:left="851" w:hanging="388"/>
      </w:pPr>
      <w:r>
        <w:t>Event Data: 95th percentile of the dropped data during the attack b</w:t>
      </w:r>
      <w:r w:rsidR="007E2E1C">
        <w:t>ased on 5 minute poll intervals.</w:t>
      </w:r>
    </w:p>
    <w:p w14:paraId="72B6B2C1" w14:textId="4F9751FB" w:rsidR="00733442" w:rsidRDefault="00733442" w:rsidP="006C0EA1">
      <w:pPr>
        <w:pStyle w:val="ListParagraph"/>
        <w:ind w:left="851" w:hanging="388"/>
      </w:pPr>
      <w:r>
        <w:t>Event Rate: The Mbps r</w:t>
      </w:r>
      <w:r w:rsidR="007E2E1C">
        <w:t>ate applied to the dropped data.</w:t>
      </w:r>
    </w:p>
    <w:p w14:paraId="70C7AF4F" w14:textId="16534400" w:rsidR="00733442" w:rsidRDefault="00733442" w:rsidP="006C0EA1">
      <w:pPr>
        <w:pStyle w:val="ListParagraph"/>
        <w:ind w:left="851" w:hanging="388"/>
      </w:pPr>
      <w:r>
        <w:t>Event Duration: The length o</w:t>
      </w:r>
      <w:r w:rsidR="007E2E1C">
        <w:t>f time of the volumetric attack.</w:t>
      </w:r>
    </w:p>
    <w:p w14:paraId="2B034B1D" w14:textId="74FA108F" w:rsidR="00733442" w:rsidRDefault="00733442" w:rsidP="006C0EA1">
      <w:pPr>
        <w:pStyle w:val="ListParagraph"/>
        <w:ind w:left="851" w:hanging="388"/>
      </w:pPr>
      <w:r>
        <w:t>Total Month: The number of 5</w:t>
      </w:r>
      <w:r w:rsidR="007E2E1C">
        <w:t xml:space="preserve"> minute polls in a month (8640).</w:t>
      </w:r>
    </w:p>
    <w:p w14:paraId="265C65D1" w14:textId="04139F8F" w:rsidR="00733442" w:rsidRPr="00733442" w:rsidRDefault="007E2E1C" w:rsidP="007E2E1C">
      <w:pPr>
        <w:pStyle w:val="Heading3"/>
      </w:pPr>
      <w:r>
        <w:t xml:space="preserve"> </w:t>
      </w:r>
      <w:r w:rsidR="00BD4FA9">
        <w:t>Professional s</w:t>
      </w:r>
      <w:r w:rsidR="00733442">
        <w:t xml:space="preserve">ervice </w:t>
      </w:r>
      <w:r w:rsidR="00BD4FA9">
        <w:t>f</w:t>
      </w:r>
      <w:r w:rsidR="00733442">
        <w:t>ees</w:t>
      </w:r>
      <w:r w:rsidR="00733442" w:rsidRPr="00733442">
        <w:t xml:space="preserve"> </w:t>
      </w:r>
    </w:p>
    <w:p w14:paraId="6E52755A" w14:textId="142F6942" w:rsidR="00733442" w:rsidRDefault="00733442" w:rsidP="00797E34">
      <w:r>
        <w:t>Additional tasks undertaken by Node4 at the request of the Customer or activities undertaken by the Customer which require the remote support of Node4 personnel will be charged at the hourly rates shown below.</w:t>
      </w:r>
    </w:p>
    <w:tbl>
      <w:tblPr>
        <w:tblStyle w:val="TableGrid1"/>
        <w:tblW w:w="4799" w:type="dxa"/>
        <w:tblCellSpacing w:w="20" w:type="dxa"/>
        <w:tblInd w:w="-126" w:type="dxa"/>
        <w:tblBorders>
          <w:top w:val="single" w:sz="4" w:space="0" w:color="A6A6A6"/>
          <w:left w:val="single" w:sz="4" w:space="0" w:color="A6A6A6"/>
          <w:bottom w:val="single" w:sz="4" w:space="0" w:color="A6A6A6"/>
          <w:right w:val="single" w:sz="4" w:space="0" w:color="A6A6A6"/>
          <w:insideH w:val="none" w:sz="0" w:space="0" w:color="auto"/>
          <w:insideV w:val="none" w:sz="0" w:space="0" w:color="auto"/>
        </w:tblBorders>
        <w:tblCellMar>
          <w:top w:w="28" w:type="dxa"/>
          <w:bottom w:w="28" w:type="dxa"/>
        </w:tblCellMar>
        <w:tblLook w:val="01E0" w:firstRow="1" w:lastRow="1" w:firstColumn="1" w:lastColumn="1" w:noHBand="0" w:noVBand="0"/>
      </w:tblPr>
      <w:tblGrid>
        <w:gridCol w:w="1681"/>
        <w:gridCol w:w="1842"/>
        <w:gridCol w:w="1276"/>
      </w:tblGrid>
      <w:tr w:rsidR="007E2E1C" w:rsidRPr="007E2E1C" w14:paraId="0786BE18" w14:textId="77777777" w:rsidTr="00AD2F36">
        <w:trPr>
          <w:trHeight w:val="631"/>
          <w:tblCellSpacing w:w="20" w:type="dxa"/>
        </w:trPr>
        <w:tc>
          <w:tcPr>
            <w:tcW w:w="1621" w:type="dxa"/>
            <w:shd w:val="clear" w:color="auto" w:fill="323232" w:themeFill="text1"/>
            <w:vAlign w:val="bottom"/>
          </w:tcPr>
          <w:p w14:paraId="67065021" w14:textId="77777777" w:rsidR="007E2E1C" w:rsidRPr="007E2E1C" w:rsidRDefault="007E2E1C" w:rsidP="00AD2F36">
            <w:pPr>
              <w:jc w:val="center"/>
              <w:rPr>
                <w:rFonts w:cs="Arial"/>
                <w:b/>
                <w:color w:val="FFFFFF"/>
                <w:sz w:val="14"/>
                <w:szCs w:val="16"/>
              </w:rPr>
            </w:pPr>
            <w:r w:rsidRPr="007E2E1C">
              <w:rPr>
                <w:rFonts w:cs="Arial"/>
                <w:b/>
                <w:color w:val="FFFFFF"/>
                <w:sz w:val="14"/>
                <w:szCs w:val="16"/>
              </w:rPr>
              <w:t>Time Support Required:</w:t>
            </w:r>
          </w:p>
        </w:tc>
        <w:tc>
          <w:tcPr>
            <w:tcW w:w="1802" w:type="dxa"/>
            <w:shd w:val="clear" w:color="auto" w:fill="323232" w:themeFill="text1"/>
            <w:vAlign w:val="center"/>
          </w:tcPr>
          <w:p w14:paraId="783CF8D2" w14:textId="77777777" w:rsidR="007E2E1C" w:rsidRPr="007E2E1C" w:rsidRDefault="007E2E1C" w:rsidP="007E2E1C">
            <w:pPr>
              <w:jc w:val="center"/>
              <w:rPr>
                <w:rFonts w:cs="Arial"/>
                <w:b/>
                <w:color w:val="FFFFFF"/>
                <w:sz w:val="14"/>
                <w:szCs w:val="16"/>
              </w:rPr>
            </w:pPr>
            <w:r w:rsidRPr="007E2E1C">
              <w:rPr>
                <w:rFonts w:cs="Arial"/>
                <w:b/>
                <w:color w:val="FFFFFF"/>
                <w:sz w:val="14"/>
                <w:szCs w:val="16"/>
              </w:rPr>
              <w:t>Per Hour</w:t>
            </w:r>
          </w:p>
        </w:tc>
        <w:tc>
          <w:tcPr>
            <w:tcW w:w="1216" w:type="dxa"/>
            <w:shd w:val="clear" w:color="auto" w:fill="323232" w:themeFill="text1"/>
            <w:vAlign w:val="center"/>
          </w:tcPr>
          <w:p w14:paraId="562293A3" w14:textId="77777777" w:rsidR="007E2E1C" w:rsidRPr="007E2E1C" w:rsidRDefault="007E2E1C" w:rsidP="007E2E1C">
            <w:pPr>
              <w:jc w:val="center"/>
              <w:rPr>
                <w:rFonts w:cs="Arial"/>
                <w:b/>
                <w:color w:val="FFFFFF"/>
                <w:sz w:val="14"/>
                <w:szCs w:val="16"/>
              </w:rPr>
            </w:pPr>
            <w:r w:rsidRPr="007E2E1C">
              <w:rPr>
                <w:rFonts w:cs="Arial"/>
                <w:b/>
                <w:color w:val="FFFFFF"/>
                <w:sz w:val="14"/>
                <w:szCs w:val="16"/>
              </w:rPr>
              <w:t>Per Day</w:t>
            </w:r>
          </w:p>
        </w:tc>
      </w:tr>
      <w:tr w:rsidR="007E2E1C" w:rsidRPr="007E2E1C" w14:paraId="1DE30DB0" w14:textId="77777777" w:rsidTr="00AD2F36">
        <w:trPr>
          <w:tblCellSpacing w:w="20" w:type="dxa"/>
        </w:trPr>
        <w:tc>
          <w:tcPr>
            <w:tcW w:w="1621" w:type="dxa"/>
            <w:shd w:val="clear" w:color="auto" w:fill="ADAFAF" w:themeFill="text2"/>
          </w:tcPr>
          <w:p w14:paraId="57374515" w14:textId="77777777" w:rsidR="007E2E1C" w:rsidRPr="007E2E1C" w:rsidRDefault="007E2E1C" w:rsidP="007E2E1C">
            <w:pPr>
              <w:rPr>
                <w:rFonts w:cs="Arial"/>
                <w:b/>
                <w:sz w:val="14"/>
                <w:szCs w:val="16"/>
              </w:rPr>
            </w:pPr>
            <w:r w:rsidRPr="007E2E1C">
              <w:rPr>
                <w:rFonts w:cs="Arial"/>
                <w:b/>
                <w:sz w:val="14"/>
                <w:szCs w:val="16"/>
              </w:rPr>
              <w:t>Mon – Fri</w:t>
            </w:r>
          </w:p>
          <w:p w14:paraId="7E621077" w14:textId="77777777" w:rsidR="007E2E1C" w:rsidRPr="007E2E1C" w:rsidRDefault="007E2E1C" w:rsidP="007E2E1C">
            <w:pPr>
              <w:rPr>
                <w:rFonts w:cs="Arial"/>
                <w:b/>
                <w:sz w:val="14"/>
                <w:szCs w:val="16"/>
              </w:rPr>
            </w:pPr>
            <w:r w:rsidRPr="007E2E1C">
              <w:rPr>
                <w:rFonts w:cs="Arial"/>
                <w:b/>
                <w:sz w:val="14"/>
                <w:szCs w:val="16"/>
              </w:rPr>
              <w:t>Business Hours</w:t>
            </w:r>
          </w:p>
        </w:tc>
        <w:tc>
          <w:tcPr>
            <w:tcW w:w="1802" w:type="dxa"/>
            <w:shd w:val="clear" w:color="auto" w:fill="ADAFAF" w:themeFill="text2"/>
          </w:tcPr>
          <w:p w14:paraId="131E9D45" w14:textId="77777777" w:rsidR="007E2E1C" w:rsidRPr="007E2E1C" w:rsidRDefault="007E2E1C" w:rsidP="007E2E1C">
            <w:pPr>
              <w:jc w:val="center"/>
              <w:rPr>
                <w:rFonts w:cs="Arial"/>
                <w:sz w:val="14"/>
                <w:szCs w:val="16"/>
              </w:rPr>
            </w:pPr>
            <w:r w:rsidRPr="007E2E1C">
              <w:rPr>
                <w:rFonts w:cs="Arial"/>
                <w:sz w:val="14"/>
                <w:szCs w:val="16"/>
              </w:rPr>
              <w:t>£60.00 Per Hour</w:t>
            </w:r>
          </w:p>
        </w:tc>
        <w:tc>
          <w:tcPr>
            <w:tcW w:w="1216" w:type="dxa"/>
            <w:shd w:val="clear" w:color="auto" w:fill="ADAFAF" w:themeFill="text2"/>
          </w:tcPr>
          <w:p w14:paraId="1884133F" w14:textId="77777777" w:rsidR="007E2E1C" w:rsidRPr="007E2E1C" w:rsidRDefault="007E2E1C" w:rsidP="007E2E1C">
            <w:pPr>
              <w:jc w:val="center"/>
              <w:rPr>
                <w:rFonts w:cs="Arial"/>
                <w:sz w:val="14"/>
                <w:szCs w:val="16"/>
              </w:rPr>
            </w:pPr>
            <w:r w:rsidRPr="007E2E1C">
              <w:rPr>
                <w:rFonts w:cs="Arial"/>
                <w:sz w:val="14"/>
                <w:szCs w:val="16"/>
              </w:rPr>
              <w:t>£480.00</w:t>
            </w:r>
          </w:p>
        </w:tc>
      </w:tr>
      <w:tr w:rsidR="007E2E1C" w:rsidRPr="007E2E1C" w14:paraId="5F7DE05A" w14:textId="77777777" w:rsidTr="00AD2F36">
        <w:trPr>
          <w:tblCellSpacing w:w="20" w:type="dxa"/>
        </w:trPr>
        <w:tc>
          <w:tcPr>
            <w:tcW w:w="1621" w:type="dxa"/>
          </w:tcPr>
          <w:p w14:paraId="2A90DC73" w14:textId="77777777" w:rsidR="007E2E1C" w:rsidRPr="007E2E1C" w:rsidRDefault="007E2E1C" w:rsidP="007E2E1C">
            <w:pPr>
              <w:jc w:val="left"/>
              <w:rPr>
                <w:rFonts w:cs="Arial"/>
                <w:b/>
                <w:sz w:val="14"/>
                <w:szCs w:val="16"/>
              </w:rPr>
            </w:pPr>
            <w:r w:rsidRPr="007E2E1C">
              <w:rPr>
                <w:rFonts w:cs="Arial"/>
                <w:b/>
                <w:sz w:val="14"/>
                <w:szCs w:val="16"/>
              </w:rPr>
              <w:t>Mon – Fri</w:t>
            </w:r>
          </w:p>
          <w:p w14:paraId="1265F482" w14:textId="77777777" w:rsidR="007E2E1C" w:rsidRPr="007E2E1C" w:rsidRDefault="007E2E1C" w:rsidP="007E2E1C">
            <w:pPr>
              <w:jc w:val="left"/>
              <w:rPr>
                <w:rFonts w:cs="Arial"/>
                <w:b/>
                <w:sz w:val="14"/>
                <w:szCs w:val="16"/>
              </w:rPr>
            </w:pPr>
            <w:r w:rsidRPr="007E2E1C">
              <w:rPr>
                <w:rFonts w:cs="Arial"/>
                <w:b/>
                <w:sz w:val="14"/>
                <w:szCs w:val="16"/>
              </w:rPr>
              <w:t>Other Times</w:t>
            </w:r>
          </w:p>
        </w:tc>
        <w:tc>
          <w:tcPr>
            <w:tcW w:w="1802" w:type="dxa"/>
          </w:tcPr>
          <w:p w14:paraId="6C61D2B3" w14:textId="77777777" w:rsidR="007E2E1C" w:rsidRPr="007E2E1C" w:rsidRDefault="007E2E1C" w:rsidP="007E2E1C">
            <w:pPr>
              <w:jc w:val="center"/>
              <w:rPr>
                <w:rFonts w:cs="Arial"/>
                <w:sz w:val="14"/>
                <w:szCs w:val="16"/>
              </w:rPr>
            </w:pPr>
            <w:r w:rsidRPr="007E2E1C">
              <w:rPr>
                <w:rFonts w:cs="Arial"/>
                <w:sz w:val="14"/>
                <w:szCs w:val="16"/>
              </w:rPr>
              <w:t>£100.00 Per Hour</w:t>
            </w:r>
          </w:p>
        </w:tc>
        <w:tc>
          <w:tcPr>
            <w:tcW w:w="1216" w:type="dxa"/>
            <w:shd w:val="clear" w:color="auto" w:fill="FFFFFF" w:themeFill="background1"/>
          </w:tcPr>
          <w:p w14:paraId="7FDD150F" w14:textId="77777777" w:rsidR="007E2E1C" w:rsidRPr="007E2E1C" w:rsidRDefault="007E2E1C" w:rsidP="007E2E1C">
            <w:pPr>
              <w:jc w:val="center"/>
              <w:rPr>
                <w:rFonts w:cs="Arial"/>
                <w:sz w:val="14"/>
                <w:szCs w:val="16"/>
              </w:rPr>
            </w:pPr>
            <w:r w:rsidRPr="007E2E1C">
              <w:rPr>
                <w:rFonts w:cs="Arial"/>
                <w:sz w:val="14"/>
                <w:szCs w:val="16"/>
              </w:rPr>
              <w:t>POA</w:t>
            </w:r>
          </w:p>
        </w:tc>
      </w:tr>
      <w:tr w:rsidR="007E2E1C" w:rsidRPr="007E2E1C" w14:paraId="34AA9A82" w14:textId="77777777" w:rsidTr="00AD2F36">
        <w:trPr>
          <w:tblCellSpacing w:w="20" w:type="dxa"/>
        </w:trPr>
        <w:tc>
          <w:tcPr>
            <w:tcW w:w="1621" w:type="dxa"/>
            <w:shd w:val="clear" w:color="auto" w:fill="ADAFAF" w:themeFill="text2"/>
          </w:tcPr>
          <w:p w14:paraId="7B14B8EE" w14:textId="77777777" w:rsidR="007E2E1C" w:rsidRPr="007E2E1C" w:rsidRDefault="007E2E1C" w:rsidP="007E2E1C">
            <w:pPr>
              <w:rPr>
                <w:rFonts w:cs="Arial"/>
                <w:b/>
                <w:sz w:val="14"/>
                <w:szCs w:val="16"/>
              </w:rPr>
            </w:pPr>
            <w:r w:rsidRPr="007E2E1C">
              <w:rPr>
                <w:rFonts w:cs="Arial"/>
                <w:b/>
                <w:sz w:val="14"/>
                <w:szCs w:val="16"/>
              </w:rPr>
              <w:t>Saturday</w:t>
            </w:r>
          </w:p>
        </w:tc>
        <w:tc>
          <w:tcPr>
            <w:tcW w:w="1802" w:type="dxa"/>
            <w:shd w:val="clear" w:color="auto" w:fill="ADAFAF" w:themeFill="text2"/>
          </w:tcPr>
          <w:p w14:paraId="6507734D" w14:textId="77777777" w:rsidR="007E2E1C" w:rsidRPr="007E2E1C" w:rsidRDefault="007E2E1C" w:rsidP="007E2E1C">
            <w:pPr>
              <w:jc w:val="center"/>
              <w:rPr>
                <w:rFonts w:cs="Arial"/>
                <w:sz w:val="14"/>
                <w:szCs w:val="16"/>
              </w:rPr>
            </w:pPr>
            <w:r w:rsidRPr="007E2E1C">
              <w:rPr>
                <w:rFonts w:cs="Arial"/>
                <w:sz w:val="14"/>
                <w:szCs w:val="16"/>
              </w:rPr>
              <w:t>£100.00 Per Hour</w:t>
            </w:r>
          </w:p>
        </w:tc>
        <w:tc>
          <w:tcPr>
            <w:tcW w:w="1216" w:type="dxa"/>
            <w:shd w:val="clear" w:color="auto" w:fill="ADAFAF" w:themeFill="text2"/>
          </w:tcPr>
          <w:p w14:paraId="69DF4017" w14:textId="77777777" w:rsidR="007E2E1C" w:rsidRPr="007E2E1C" w:rsidRDefault="007E2E1C" w:rsidP="007E2E1C">
            <w:pPr>
              <w:jc w:val="center"/>
              <w:rPr>
                <w:rFonts w:cs="Arial"/>
                <w:sz w:val="14"/>
                <w:szCs w:val="16"/>
              </w:rPr>
            </w:pPr>
            <w:r w:rsidRPr="007E2E1C">
              <w:rPr>
                <w:rFonts w:cs="Arial"/>
                <w:sz w:val="14"/>
                <w:szCs w:val="16"/>
              </w:rPr>
              <w:t>POA</w:t>
            </w:r>
          </w:p>
        </w:tc>
      </w:tr>
      <w:tr w:rsidR="007E2E1C" w:rsidRPr="007E2E1C" w14:paraId="7F399111" w14:textId="77777777" w:rsidTr="00AD2F36">
        <w:trPr>
          <w:tblCellSpacing w:w="20" w:type="dxa"/>
        </w:trPr>
        <w:tc>
          <w:tcPr>
            <w:tcW w:w="1621" w:type="dxa"/>
          </w:tcPr>
          <w:p w14:paraId="0FF63323" w14:textId="77777777" w:rsidR="007E2E1C" w:rsidRPr="007E2E1C" w:rsidRDefault="007E2E1C" w:rsidP="007E2E1C">
            <w:pPr>
              <w:rPr>
                <w:rFonts w:cs="Arial"/>
                <w:b/>
                <w:sz w:val="14"/>
                <w:szCs w:val="16"/>
              </w:rPr>
            </w:pPr>
            <w:r w:rsidRPr="007E2E1C">
              <w:rPr>
                <w:rFonts w:cs="Arial"/>
                <w:b/>
                <w:sz w:val="14"/>
                <w:szCs w:val="16"/>
              </w:rPr>
              <w:t>Sunday</w:t>
            </w:r>
          </w:p>
        </w:tc>
        <w:tc>
          <w:tcPr>
            <w:tcW w:w="1802" w:type="dxa"/>
          </w:tcPr>
          <w:p w14:paraId="73148B3F" w14:textId="77777777" w:rsidR="007E2E1C" w:rsidRPr="007E2E1C" w:rsidRDefault="007E2E1C" w:rsidP="007E2E1C">
            <w:pPr>
              <w:jc w:val="center"/>
              <w:rPr>
                <w:rFonts w:cs="Arial"/>
                <w:sz w:val="14"/>
                <w:szCs w:val="16"/>
              </w:rPr>
            </w:pPr>
            <w:r w:rsidRPr="007E2E1C">
              <w:rPr>
                <w:rFonts w:cs="Arial"/>
                <w:sz w:val="14"/>
                <w:szCs w:val="16"/>
              </w:rPr>
              <w:t>£100.00 Per Hour</w:t>
            </w:r>
          </w:p>
        </w:tc>
        <w:tc>
          <w:tcPr>
            <w:tcW w:w="1216" w:type="dxa"/>
            <w:shd w:val="clear" w:color="auto" w:fill="FFFFFF" w:themeFill="background1"/>
          </w:tcPr>
          <w:p w14:paraId="762EDF4D" w14:textId="77777777" w:rsidR="007E2E1C" w:rsidRPr="007E2E1C" w:rsidRDefault="007E2E1C" w:rsidP="007E2E1C">
            <w:pPr>
              <w:jc w:val="center"/>
              <w:rPr>
                <w:rFonts w:cs="Arial"/>
                <w:sz w:val="14"/>
                <w:szCs w:val="16"/>
              </w:rPr>
            </w:pPr>
            <w:r w:rsidRPr="007E2E1C">
              <w:rPr>
                <w:rFonts w:cs="Arial"/>
                <w:sz w:val="14"/>
                <w:szCs w:val="16"/>
              </w:rPr>
              <w:t>POA</w:t>
            </w:r>
          </w:p>
        </w:tc>
      </w:tr>
    </w:tbl>
    <w:p w14:paraId="79E5C0CC" w14:textId="5C9EAFE2" w:rsidR="00C91E67" w:rsidRDefault="00C91E67" w:rsidP="00797E34"/>
    <w:p w14:paraId="1279610F" w14:textId="0F236041" w:rsidR="00554735" w:rsidRDefault="00554735" w:rsidP="007E2E1C">
      <w:r>
        <w:t>Time is charged by the hour. These rates are for a trained technician and are subject to an annual review by Node4. For advanced engineers with MCSE or CCIE status please contact Node4 for pricing.</w:t>
      </w:r>
    </w:p>
    <w:p w14:paraId="084C4BAE" w14:textId="58E4A18B" w:rsidR="00631A45" w:rsidRPr="00631A45" w:rsidRDefault="00BD4FA9" w:rsidP="007E2E1C">
      <w:pPr>
        <w:pStyle w:val="Heading2"/>
      </w:pPr>
      <w:r>
        <w:t>Customer r</w:t>
      </w:r>
      <w:r w:rsidR="00631A45">
        <w:t>esponsibilities</w:t>
      </w:r>
      <w:r w:rsidR="00631A45" w:rsidRPr="00631A45">
        <w:t xml:space="preserve"> </w:t>
      </w:r>
    </w:p>
    <w:p w14:paraId="00DD020C" w14:textId="77777777" w:rsidR="00631A45" w:rsidRDefault="00631A45" w:rsidP="00797E34">
      <w:r>
        <w:t xml:space="preserve">In order to deliver the service we expect the customer to provide: </w:t>
      </w:r>
    </w:p>
    <w:p w14:paraId="6B6B6280" w14:textId="06A6AD97" w:rsidR="00631A45" w:rsidRDefault="00631A45" w:rsidP="007E2E1C">
      <w:pPr>
        <w:pStyle w:val="ListParagraph"/>
        <w:ind w:left="993"/>
      </w:pPr>
      <w:r>
        <w:t xml:space="preserve">IP Addressing information </w:t>
      </w:r>
    </w:p>
    <w:p w14:paraId="776AE92D" w14:textId="7F886C60" w:rsidR="00631A45" w:rsidRDefault="00631A45" w:rsidP="007E2E1C">
      <w:pPr>
        <w:pStyle w:val="ListParagraph"/>
        <w:ind w:left="993"/>
      </w:pPr>
      <w:r>
        <w:t xml:space="preserve">Liaison with Node4 Engineering, Provisioning and project management teams. </w:t>
      </w:r>
    </w:p>
    <w:p w14:paraId="63C63497" w14:textId="45F087F6" w:rsidR="00631A45" w:rsidRDefault="00631A45" w:rsidP="007E2E1C">
      <w:pPr>
        <w:pStyle w:val="ListParagraph"/>
        <w:ind w:left="993"/>
      </w:pPr>
      <w:r>
        <w:t xml:space="preserve">Liaison with Node4 Customer Support teams. </w:t>
      </w:r>
    </w:p>
    <w:p w14:paraId="39CEF9B7" w14:textId="63CD65CA" w:rsidR="00631A45" w:rsidRDefault="00631A45" w:rsidP="00362187">
      <w:pPr>
        <w:pStyle w:val="Heading2"/>
      </w:pPr>
      <w:r w:rsidRPr="00631A45">
        <w:t>S</w:t>
      </w:r>
      <w:r w:rsidR="00BD4FA9">
        <w:t>ervice p</w:t>
      </w:r>
      <w:r>
        <w:t>rovision</w:t>
      </w:r>
    </w:p>
    <w:p w14:paraId="5823DE3B" w14:textId="67BE4EDD" w:rsidR="00631A45" w:rsidRDefault="00631A45" w:rsidP="00797E34">
      <w:r>
        <w:t>The Node4 N4Protect DDoS service provides the customer with DDoS mitigation services to CIB from the Node4 network. The service may protect either a Data Centre based resource (i.e. N4Cloud or Co</w:t>
      </w:r>
      <w:r w:rsidR="006C0EA1">
        <w:t>-location</w:t>
      </w:r>
      <w:r>
        <w:t xml:space="preserve">) or an MPLS customer. </w:t>
      </w:r>
    </w:p>
    <w:p w14:paraId="7D591290" w14:textId="5D7EE1F4" w:rsidR="00631A45" w:rsidRPr="00631A45" w:rsidRDefault="00362187" w:rsidP="00362187">
      <w:pPr>
        <w:pStyle w:val="Heading3"/>
      </w:pPr>
      <w:r>
        <w:t xml:space="preserve"> </w:t>
      </w:r>
      <w:r w:rsidR="00BD4FA9">
        <w:t>Site e</w:t>
      </w:r>
      <w:r w:rsidR="00631A45">
        <w:t>quipment</w:t>
      </w:r>
    </w:p>
    <w:p w14:paraId="30A5A4F2" w14:textId="77777777" w:rsidR="00631A45" w:rsidRDefault="00631A45" w:rsidP="00797E34">
      <w:r>
        <w:t xml:space="preserve">For N4 Protect DDOS+ the customer is provisioned in a Virtual Domain on managed Node4 Equipment. No customer premises equipment (CPE) is provided with the N4Protect DDoS service. </w:t>
      </w:r>
    </w:p>
    <w:p w14:paraId="68583290" w14:textId="5948AA75" w:rsidR="00631A45" w:rsidRPr="00631A45" w:rsidRDefault="00362187" w:rsidP="00362187">
      <w:pPr>
        <w:pStyle w:val="Heading3"/>
      </w:pPr>
      <w:r>
        <w:t xml:space="preserve"> </w:t>
      </w:r>
      <w:r w:rsidR="00631A45">
        <w:t xml:space="preserve">Hosting </w:t>
      </w:r>
      <w:r w:rsidR="00BD4FA9">
        <w:t>and c</w:t>
      </w:r>
      <w:r w:rsidR="00631A45">
        <w:t>o-location</w:t>
      </w:r>
      <w:r w:rsidR="00631A45" w:rsidRPr="00631A45">
        <w:t xml:space="preserve"> </w:t>
      </w:r>
    </w:p>
    <w:p w14:paraId="05B12712" w14:textId="14D919C5" w:rsidR="00631A45" w:rsidRDefault="00631A45" w:rsidP="00797E34">
      <w:r>
        <w:t>Any hosted services are identified on the Order Form and are subject to the Co</w:t>
      </w:r>
      <w:r w:rsidR="006C0EA1">
        <w:t>-</w:t>
      </w:r>
      <w:r>
        <w:t xml:space="preserve">location Service Schedule. </w:t>
      </w:r>
    </w:p>
    <w:p w14:paraId="1258E763" w14:textId="22FC2282" w:rsidR="00631A45" w:rsidRPr="00B60575" w:rsidRDefault="00362187" w:rsidP="00362187">
      <w:pPr>
        <w:pStyle w:val="Heading3"/>
      </w:pPr>
      <w:r>
        <w:t xml:space="preserve"> </w:t>
      </w:r>
      <w:r w:rsidR="00BD4FA9">
        <w:t>Internet s</w:t>
      </w:r>
      <w:r w:rsidR="00B60575">
        <w:t>ecurity</w:t>
      </w:r>
      <w:r w:rsidR="00631A45" w:rsidRPr="00B60575">
        <w:t xml:space="preserve"> </w:t>
      </w:r>
    </w:p>
    <w:p w14:paraId="3855F760" w14:textId="77777777" w:rsidR="00B60575" w:rsidRDefault="00631A45" w:rsidP="00797E34">
      <w:r>
        <w:t xml:space="preserve">Node4 can provide N4Protect DDoS customers with additional Internet Security services. </w:t>
      </w:r>
    </w:p>
    <w:p w14:paraId="719E38C0" w14:textId="790B0F46" w:rsidR="00631A45" w:rsidRDefault="00631A45" w:rsidP="00797E34">
      <w:r>
        <w:t xml:space="preserve">NGFW Firewall and virus protection options are available from Node4 on request. </w:t>
      </w:r>
    </w:p>
    <w:p w14:paraId="7B983019" w14:textId="36DC1635" w:rsidR="00B60575" w:rsidRPr="00B60575" w:rsidRDefault="00362187" w:rsidP="00362187">
      <w:pPr>
        <w:pStyle w:val="Heading3"/>
      </w:pPr>
      <w:r>
        <w:t xml:space="preserve"> </w:t>
      </w:r>
      <w:r w:rsidR="00BD4FA9">
        <w:t>IP a</w:t>
      </w:r>
      <w:r w:rsidR="00B60575">
        <w:t>ddresses</w:t>
      </w:r>
    </w:p>
    <w:p w14:paraId="1F66F872" w14:textId="77777777" w:rsidR="00B60575" w:rsidRDefault="00631A45" w:rsidP="00797E34">
      <w:r>
        <w:t xml:space="preserve">The number of IP addresses assigned as protected by the N4Protect DDoS Service will be identified on the Order Form. </w:t>
      </w:r>
    </w:p>
    <w:p w14:paraId="3EC00F38" w14:textId="77777777" w:rsidR="00B60575" w:rsidRDefault="00631A45" w:rsidP="00797E34">
      <w:r>
        <w:t xml:space="preserve">It is the customer’s responsibility to use their assigned IP addresses. Use of non-assigned IP addresses will result in immediate disconnection from the network. </w:t>
      </w:r>
    </w:p>
    <w:p w14:paraId="58CD1608" w14:textId="683A1A48" w:rsidR="00B60575" w:rsidRPr="00B60575" w:rsidRDefault="00362187" w:rsidP="00362187">
      <w:pPr>
        <w:pStyle w:val="Heading3"/>
      </w:pPr>
      <w:r>
        <w:t xml:space="preserve"> </w:t>
      </w:r>
      <w:r w:rsidR="00BD4FA9">
        <w:t>Customer s</w:t>
      </w:r>
      <w:r w:rsidR="00B60575">
        <w:t>upport</w:t>
      </w:r>
      <w:r w:rsidR="00631A45" w:rsidRPr="00B60575">
        <w:t xml:space="preserve"> </w:t>
      </w:r>
    </w:p>
    <w:p w14:paraId="5B304B65" w14:textId="71600105" w:rsidR="00554735" w:rsidRDefault="00631A45" w:rsidP="00797E34">
      <w:r>
        <w:t>N4Protect DDoS is provided with full management and Node4 Gold Support (24x7x365). Both are included in the pricing.</w:t>
      </w:r>
    </w:p>
    <w:p w14:paraId="36353C71" w14:textId="77777777" w:rsidR="00050B20" w:rsidRDefault="00050B20" w:rsidP="00797E34">
      <w:r>
        <w:t xml:space="preserve">Support levels are identified in the Incident Management Service Schedule. </w:t>
      </w:r>
    </w:p>
    <w:p w14:paraId="02445AF1" w14:textId="0FA5B50F" w:rsidR="00050B20" w:rsidRPr="00050B20" w:rsidRDefault="00362187" w:rsidP="00362187">
      <w:pPr>
        <w:pStyle w:val="Heading3"/>
      </w:pPr>
      <w:r>
        <w:t xml:space="preserve"> </w:t>
      </w:r>
      <w:r w:rsidR="00050B20">
        <w:t xml:space="preserve">Monitoring </w:t>
      </w:r>
    </w:p>
    <w:p w14:paraId="136E78D7" w14:textId="77777777" w:rsidR="00050B20" w:rsidRDefault="00050B20" w:rsidP="00797E34">
      <w:r>
        <w:t xml:space="preserve">Node4’s core infrastructure is monitored on a 24/7 basis. This excludes customer premises equipment. </w:t>
      </w:r>
      <w:r>
        <w:lastRenderedPageBreak/>
        <w:t xml:space="preserve">Node4’s Advanced Monitoring Services are available for customers requiring additional monitoring. </w:t>
      </w:r>
    </w:p>
    <w:p w14:paraId="7FB02585" w14:textId="2F966688" w:rsidR="00050B20" w:rsidRPr="00050B20" w:rsidRDefault="00362187" w:rsidP="00362187">
      <w:pPr>
        <w:pStyle w:val="Heading3"/>
      </w:pPr>
      <w:r>
        <w:t xml:space="preserve"> </w:t>
      </w:r>
      <w:r w:rsidR="00050B20">
        <w:t xml:space="preserve">Maintenance </w:t>
      </w:r>
      <w:r w:rsidR="00BD4FA9">
        <w:t>w</w:t>
      </w:r>
      <w:r w:rsidR="00050B20">
        <w:t>indow</w:t>
      </w:r>
    </w:p>
    <w:p w14:paraId="32BBE1A2" w14:textId="77777777" w:rsidR="00050B20" w:rsidRDefault="00050B20" w:rsidP="00797E34">
      <w:r>
        <w:t xml:space="preserve">Where Node4 plans to perform essential works Node4 will endeavour to perform such works during low traffic periods and will endeavour to give the Customer at least five (5) days prior notice. In the event of an emergency or Service affecting fault such notice may be less than 24 hours. </w:t>
      </w:r>
    </w:p>
    <w:p w14:paraId="630D6C18" w14:textId="70FD86C5" w:rsidR="00050B20" w:rsidRPr="00050B20" w:rsidRDefault="00362187" w:rsidP="00362187">
      <w:pPr>
        <w:pStyle w:val="Heading3"/>
      </w:pPr>
      <w:r>
        <w:t xml:space="preserve"> </w:t>
      </w:r>
      <w:r w:rsidR="00050B20">
        <w:t xml:space="preserve">Professional </w:t>
      </w:r>
      <w:r w:rsidR="00BD4FA9">
        <w:t>s</w:t>
      </w:r>
      <w:r w:rsidR="00050B20">
        <w:t>ervices</w:t>
      </w:r>
    </w:p>
    <w:p w14:paraId="4F60BA05" w14:textId="77777777" w:rsidR="00050B20" w:rsidRDefault="00050B20" w:rsidP="00797E34">
      <w:r>
        <w:t xml:space="preserve">Support on configuration is provided within business hours only and for a period not exceeding 15 working days from installation. Technical Support is provided for the configuration implemented by Node4; we will not provide support for configuration outside of the original customer requirement. </w:t>
      </w:r>
    </w:p>
    <w:p w14:paraId="7966574A" w14:textId="77777777" w:rsidR="00050B20" w:rsidRDefault="00050B20" w:rsidP="00797E34">
      <w:r>
        <w:t xml:space="preserve">Additional Professional Services are subject to the price list below. </w:t>
      </w:r>
    </w:p>
    <w:p w14:paraId="4F4B6241" w14:textId="77777777" w:rsidR="00050B20" w:rsidRDefault="00050B20" w:rsidP="00797E34">
      <w:r>
        <w:t xml:space="preserve">All incremental expenses incurred during these Professional Services will be passed directly to the Customer. Provisioning costs such as cabling will be discussed and agreed with the Customer in the Order Form. </w:t>
      </w:r>
    </w:p>
    <w:p w14:paraId="52BD3287" w14:textId="6CB190E0" w:rsidR="00050B20" w:rsidRPr="00050B20" w:rsidRDefault="00050B20" w:rsidP="00362187">
      <w:pPr>
        <w:pStyle w:val="Heading2"/>
        <w:jc w:val="left"/>
      </w:pPr>
      <w:r>
        <w:t xml:space="preserve">Fault </w:t>
      </w:r>
      <w:r w:rsidR="00BD4FA9">
        <w:t>reporting and m</w:t>
      </w:r>
      <w:r>
        <w:t>anagement</w:t>
      </w:r>
      <w:r w:rsidRPr="00050B20">
        <w:t xml:space="preserve"> </w:t>
      </w:r>
    </w:p>
    <w:p w14:paraId="1E988865" w14:textId="183DF9F1" w:rsidR="00050B20" w:rsidRPr="00050B20" w:rsidRDefault="00362187" w:rsidP="00362187">
      <w:pPr>
        <w:pStyle w:val="Heading3"/>
      </w:pPr>
      <w:r>
        <w:t xml:space="preserve"> </w:t>
      </w:r>
      <w:r w:rsidR="00050B20">
        <w:t xml:space="preserve">Fault </w:t>
      </w:r>
      <w:r w:rsidR="00BD4FA9">
        <w:t>h</w:t>
      </w:r>
      <w:r w:rsidR="00050B20">
        <w:t>andling</w:t>
      </w:r>
      <w:r w:rsidR="00050B20" w:rsidRPr="00050B20">
        <w:t xml:space="preserve"> </w:t>
      </w:r>
    </w:p>
    <w:p w14:paraId="2C3C100E" w14:textId="2347A176" w:rsidR="00362187" w:rsidRDefault="00050B20" w:rsidP="00797E34">
      <w:r>
        <w:t xml:space="preserve">Faults are handled as outlined in Incident Management Service Schedule. </w:t>
      </w:r>
    </w:p>
    <w:p w14:paraId="533F89ED" w14:textId="05FCBFB8" w:rsidR="00362187" w:rsidRPr="00362187" w:rsidRDefault="00362187" w:rsidP="00362187">
      <w:pPr>
        <w:pStyle w:val="Heading3"/>
      </w:pPr>
      <w:r>
        <w:t xml:space="preserve"> </w:t>
      </w:r>
      <w:r w:rsidR="00BD4FA9">
        <w:t>Time to r</w:t>
      </w:r>
      <w:r w:rsidR="00050B20">
        <w:t>epair</w:t>
      </w:r>
    </w:p>
    <w:tbl>
      <w:tblPr>
        <w:tblStyle w:val="TableGrid"/>
        <w:tblW w:w="4720" w:type="dxa"/>
        <w:tblCellSpacing w:w="20" w:type="dxa"/>
        <w:tblInd w:w="-126" w:type="dxa"/>
        <w:tblBorders>
          <w:top w:val="single" w:sz="4" w:space="0" w:color="A6A6A6"/>
          <w:left w:val="single" w:sz="4" w:space="0" w:color="A6A6A6"/>
          <w:bottom w:val="single" w:sz="4" w:space="0" w:color="A6A6A6"/>
          <w:right w:val="single" w:sz="4" w:space="0" w:color="A6A6A6"/>
          <w:insideH w:val="none" w:sz="0" w:space="0" w:color="auto"/>
          <w:insideV w:val="none" w:sz="0" w:space="0" w:color="auto"/>
        </w:tblBorders>
        <w:tblCellMar>
          <w:top w:w="28" w:type="dxa"/>
          <w:bottom w:w="28" w:type="dxa"/>
        </w:tblCellMar>
        <w:tblLook w:val="01E0" w:firstRow="1" w:lastRow="1" w:firstColumn="1" w:lastColumn="1" w:noHBand="0" w:noVBand="0"/>
      </w:tblPr>
      <w:tblGrid>
        <w:gridCol w:w="651"/>
        <w:gridCol w:w="1070"/>
        <w:gridCol w:w="599"/>
        <w:gridCol w:w="600"/>
        <w:gridCol w:w="600"/>
        <w:gridCol w:w="600"/>
        <w:gridCol w:w="600"/>
      </w:tblGrid>
      <w:tr w:rsidR="00362187" w:rsidRPr="00BC665D" w14:paraId="59ED57E0" w14:textId="77777777" w:rsidTr="00AD2F36">
        <w:trPr>
          <w:trHeight w:val="595"/>
          <w:tblCellSpacing w:w="20" w:type="dxa"/>
        </w:trPr>
        <w:tc>
          <w:tcPr>
            <w:tcW w:w="591" w:type="dxa"/>
            <w:vMerge w:val="restart"/>
            <w:shd w:val="clear" w:color="auto" w:fill="FFFFFF" w:themeFill="background1"/>
            <w:textDirection w:val="btLr"/>
          </w:tcPr>
          <w:p w14:paraId="41E40DDB" w14:textId="77777777" w:rsidR="00362187" w:rsidRPr="00EA07FD" w:rsidRDefault="00362187" w:rsidP="00AD2F36">
            <w:pPr>
              <w:ind w:left="113" w:right="113"/>
              <w:jc w:val="center"/>
              <w:rPr>
                <w:rFonts w:cs="Arial"/>
                <w:b/>
                <w:color w:val="FFFFFF"/>
                <w:sz w:val="12"/>
                <w:szCs w:val="16"/>
              </w:rPr>
            </w:pPr>
            <w:r w:rsidRPr="00EA07FD">
              <w:rPr>
                <w:rFonts w:cs="Arial"/>
                <w:b/>
                <w:color w:val="auto"/>
                <w:sz w:val="12"/>
                <w:szCs w:val="16"/>
              </w:rPr>
              <w:t>Business Hours</w:t>
            </w:r>
          </w:p>
        </w:tc>
        <w:tc>
          <w:tcPr>
            <w:tcW w:w="1030" w:type="dxa"/>
            <w:shd w:val="clear" w:color="auto" w:fill="323232" w:themeFill="text1"/>
            <w:vAlign w:val="bottom"/>
          </w:tcPr>
          <w:p w14:paraId="64F474BB" w14:textId="77777777" w:rsidR="00362187" w:rsidRPr="00EA07FD" w:rsidRDefault="00362187" w:rsidP="00AD2F36">
            <w:pPr>
              <w:rPr>
                <w:rFonts w:cs="Arial"/>
                <w:b/>
                <w:color w:val="FFFFFF"/>
                <w:sz w:val="12"/>
                <w:szCs w:val="16"/>
              </w:rPr>
            </w:pPr>
            <w:r w:rsidRPr="00EA07FD">
              <w:rPr>
                <w:rFonts w:cs="Arial"/>
                <w:b/>
                <w:color w:val="FFFFFF"/>
                <w:sz w:val="12"/>
                <w:szCs w:val="16"/>
              </w:rPr>
              <w:t>Description</w:t>
            </w:r>
          </w:p>
        </w:tc>
        <w:tc>
          <w:tcPr>
            <w:tcW w:w="559" w:type="dxa"/>
            <w:shd w:val="clear" w:color="auto" w:fill="323232" w:themeFill="text1"/>
            <w:vAlign w:val="bottom"/>
          </w:tcPr>
          <w:p w14:paraId="112F1289" w14:textId="77777777" w:rsidR="00362187" w:rsidRPr="00EA07FD" w:rsidRDefault="00362187" w:rsidP="00AD2F36">
            <w:pPr>
              <w:jc w:val="center"/>
              <w:rPr>
                <w:rFonts w:cs="Arial"/>
                <w:b/>
                <w:color w:val="FFFFFF"/>
                <w:sz w:val="12"/>
                <w:szCs w:val="16"/>
              </w:rPr>
            </w:pPr>
            <w:r w:rsidRPr="00EA07FD">
              <w:rPr>
                <w:rFonts w:cs="Arial"/>
                <w:b/>
                <w:color w:val="FFFFFF"/>
                <w:sz w:val="12"/>
                <w:szCs w:val="16"/>
              </w:rPr>
              <w:t xml:space="preserve">Cat </w:t>
            </w:r>
            <w:r>
              <w:rPr>
                <w:rFonts w:cs="Arial"/>
                <w:b/>
                <w:color w:val="FFFFFF"/>
                <w:sz w:val="12"/>
                <w:szCs w:val="16"/>
              </w:rPr>
              <w:t>1</w:t>
            </w:r>
          </w:p>
        </w:tc>
        <w:tc>
          <w:tcPr>
            <w:tcW w:w="560" w:type="dxa"/>
            <w:shd w:val="clear" w:color="auto" w:fill="323232" w:themeFill="text1"/>
            <w:vAlign w:val="bottom"/>
          </w:tcPr>
          <w:p w14:paraId="55E6DB20" w14:textId="77777777" w:rsidR="00362187" w:rsidRPr="00EA07FD" w:rsidRDefault="00362187" w:rsidP="00AD2F36">
            <w:pPr>
              <w:jc w:val="center"/>
              <w:rPr>
                <w:rFonts w:cs="Arial"/>
                <w:b/>
                <w:color w:val="FFFFFF"/>
                <w:sz w:val="12"/>
                <w:szCs w:val="16"/>
              </w:rPr>
            </w:pPr>
            <w:r>
              <w:rPr>
                <w:rFonts w:cs="Arial"/>
                <w:b/>
                <w:color w:val="FFFFFF"/>
                <w:sz w:val="12"/>
                <w:szCs w:val="16"/>
              </w:rPr>
              <w:t>Cat 2</w:t>
            </w:r>
          </w:p>
        </w:tc>
        <w:tc>
          <w:tcPr>
            <w:tcW w:w="560" w:type="dxa"/>
            <w:shd w:val="clear" w:color="auto" w:fill="323232" w:themeFill="text1"/>
            <w:vAlign w:val="bottom"/>
          </w:tcPr>
          <w:p w14:paraId="14712DCC" w14:textId="77777777" w:rsidR="00362187" w:rsidRPr="00EA07FD" w:rsidRDefault="00362187" w:rsidP="00AD2F36">
            <w:pPr>
              <w:jc w:val="center"/>
              <w:rPr>
                <w:rFonts w:cs="Arial"/>
                <w:b/>
                <w:color w:val="FFFFFF"/>
                <w:sz w:val="12"/>
                <w:szCs w:val="16"/>
              </w:rPr>
            </w:pPr>
            <w:r>
              <w:rPr>
                <w:rFonts w:cs="Arial"/>
                <w:b/>
                <w:color w:val="FFFFFF"/>
                <w:sz w:val="12"/>
                <w:szCs w:val="16"/>
              </w:rPr>
              <w:t>Cat 3</w:t>
            </w:r>
          </w:p>
        </w:tc>
        <w:tc>
          <w:tcPr>
            <w:tcW w:w="560" w:type="dxa"/>
            <w:shd w:val="clear" w:color="auto" w:fill="323232" w:themeFill="text1"/>
            <w:vAlign w:val="bottom"/>
          </w:tcPr>
          <w:p w14:paraId="54F6B669" w14:textId="77777777" w:rsidR="00362187" w:rsidRDefault="00362187" w:rsidP="00AD2F36">
            <w:pPr>
              <w:jc w:val="center"/>
              <w:rPr>
                <w:rFonts w:cs="Arial"/>
                <w:b/>
                <w:color w:val="FFFFFF"/>
                <w:sz w:val="12"/>
                <w:szCs w:val="16"/>
              </w:rPr>
            </w:pPr>
            <w:r>
              <w:rPr>
                <w:rFonts w:cs="Arial"/>
                <w:b/>
                <w:color w:val="FFFFFF"/>
                <w:sz w:val="12"/>
                <w:szCs w:val="16"/>
              </w:rPr>
              <w:t>Cat 4</w:t>
            </w:r>
          </w:p>
        </w:tc>
        <w:tc>
          <w:tcPr>
            <w:tcW w:w="540" w:type="dxa"/>
            <w:shd w:val="clear" w:color="auto" w:fill="323232" w:themeFill="text1"/>
            <w:vAlign w:val="bottom"/>
          </w:tcPr>
          <w:p w14:paraId="17C0C90B" w14:textId="77777777" w:rsidR="00362187" w:rsidRDefault="00362187" w:rsidP="00AD2F36">
            <w:pPr>
              <w:jc w:val="center"/>
              <w:rPr>
                <w:rFonts w:cs="Arial"/>
                <w:b/>
                <w:color w:val="FFFFFF"/>
                <w:sz w:val="12"/>
                <w:szCs w:val="16"/>
              </w:rPr>
            </w:pPr>
            <w:r>
              <w:rPr>
                <w:rFonts w:cs="Arial"/>
                <w:b/>
                <w:color w:val="FFFFFF"/>
                <w:sz w:val="12"/>
                <w:szCs w:val="16"/>
              </w:rPr>
              <w:t>Cat 5</w:t>
            </w:r>
          </w:p>
        </w:tc>
      </w:tr>
      <w:tr w:rsidR="00362187" w:rsidRPr="00BC665D" w14:paraId="2194A380" w14:textId="77777777" w:rsidTr="00AD2F36">
        <w:trPr>
          <w:trHeight w:val="934"/>
          <w:tblCellSpacing w:w="20" w:type="dxa"/>
        </w:trPr>
        <w:tc>
          <w:tcPr>
            <w:tcW w:w="591" w:type="dxa"/>
            <w:vMerge/>
            <w:shd w:val="clear" w:color="auto" w:fill="FFFFFF" w:themeFill="background1"/>
          </w:tcPr>
          <w:p w14:paraId="01512504" w14:textId="77777777" w:rsidR="00362187" w:rsidRPr="00EA07FD" w:rsidRDefault="00362187" w:rsidP="00AD2F36">
            <w:pPr>
              <w:spacing w:after="0"/>
              <w:jc w:val="left"/>
              <w:rPr>
                <w:rFonts w:cs="Arial"/>
                <w:b/>
                <w:sz w:val="12"/>
                <w:szCs w:val="16"/>
              </w:rPr>
            </w:pPr>
          </w:p>
        </w:tc>
        <w:tc>
          <w:tcPr>
            <w:tcW w:w="1030" w:type="dxa"/>
            <w:shd w:val="clear" w:color="auto" w:fill="ADAFAF" w:themeFill="text2"/>
            <w:vAlign w:val="center"/>
          </w:tcPr>
          <w:p w14:paraId="2105A880" w14:textId="77777777" w:rsidR="00362187" w:rsidRPr="00EA07FD" w:rsidRDefault="00362187" w:rsidP="00AD2F36">
            <w:pPr>
              <w:spacing w:after="0"/>
              <w:jc w:val="center"/>
              <w:rPr>
                <w:rFonts w:cs="Arial"/>
                <w:b/>
                <w:sz w:val="12"/>
                <w:szCs w:val="16"/>
              </w:rPr>
            </w:pPr>
            <w:r w:rsidRPr="00EA07FD">
              <w:rPr>
                <w:rFonts w:cs="Arial"/>
                <w:b/>
                <w:sz w:val="12"/>
                <w:szCs w:val="16"/>
              </w:rPr>
              <w:t>Faults &amp; Technical Queries Acknowledge-</w:t>
            </w:r>
            <w:proofErr w:type="spellStart"/>
            <w:r w:rsidRPr="00EA07FD">
              <w:rPr>
                <w:rFonts w:cs="Arial"/>
                <w:b/>
                <w:sz w:val="12"/>
                <w:szCs w:val="16"/>
              </w:rPr>
              <w:t>ment</w:t>
            </w:r>
            <w:proofErr w:type="spellEnd"/>
            <w:r w:rsidRPr="00EA07FD">
              <w:rPr>
                <w:rFonts w:cs="Arial"/>
                <w:b/>
                <w:sz w:val="12"/>
                <w:szCs w:val="16"/>
              </w:rPr>
              <w:t>*</w:t>
            </w:r>
          </w:p>
        </w:tc>
        <w:tc>
          <w:tcPr>
            <w:tcW w:w="559" w:type="dxa"/>
            <w:shd w:val="clear" w:color="auto" w:fill="ADAFAF" w:themeFill="text2"/>
            <w:vAlign w:val="center"/>
          </w:tcPr>
          <w:p w14:paraId="711E0A1E" w14:textId="77777777" w:rsidR="00362187" w:rsidRPr="00EA07FD" w:rsidRDefault="00362187" w:rsidP="00AD2F36">
            <w:pPr>
              <w:spacing w:after="0"/>
              <w:jc w:val="center"/>
              <w:rPr>
                <w:rFonts w:cs="Arial"/>
                <w:sz w:val="12"/>
                <w:szCs w:val="16"/>
              </w:rPr>
            </w:pPr>
            <w:r>
              <w:rPr>
                <w:rFonts w:cs="Arial"/>
                <w:sz w:val="12"/>
                <w:szCs w:val="16"/>
              </w:rPr>
              <w:t>30 mins</w:t>
            </w:r>
          </w:p>
        </w:tc>
        <w:tc>
          <w:tcPr>
            <w:tcW w:w="560" w:type="dxa"/>
            <w:shd w:val="clear" w:color="auto" w:fill="ADAFAF" w:themeFill="text2"/>
            <w:vAlign w:val="center"/>
          </w:tcPr>
          <w:p w14:paraId="28772184" w14:textId="77777777" w:rsidR="00362187" w:rsidRPr="00EA07FD" w:rsidRDefault="00362187" w:rsidP="00AD2F36">
            <w:pPr>
              <w:spacing w:after="0"/>
              <w:jc w:val="center"/>
              <w:rPr>
                <w:rFonts w:cs="Arial"/>
                <w:sz w:val="12"/>
                <w:szCs w:val="16"/>
              </w:rPr>
            </w:pPr>
            <w:r>
              <w:rPr>
                <w:rFonts w:cs="Arial"/>
                <w:sz w:val="12"/>
                <w:szCs w:val="16"/>
              </w:rPr>
              <w:t>30 Mins</w:t>
            </w:r>
          </w:p>
        </w:tc>
        <w:tc>
          <w:tcPr>
            <w:tcW w:w="560" w:type="dxa"/>
            <w:shd w:val="clear" w:color="auto" w:fill="ADAFAF" w:themeFill="text2"/>
            <w:vAlign w:val="center"/>
          </w:tcPr>
          <w:p w14:paraId="7D4D8384" w14:textId="77777777" w:rsidR="00362187" w:rsidRPr="00EA07FD" w:rsidRDefault="00362187" w:rsidP="00AD2F36">
            <w:pPr>
              <w:spacing w:after="0"/>
              <w:jc w:val="center"/>
              <w:rPr>
                <w:rFonts w:cs="Arial"/>
                <w:sz w:val="12"/>
                <w:szCs w:val="16"/>
              </w:rPr>
            </w:pPr>
            <w:r>
              <w:rPr>
                <w:rFonts w:cs="Arial"/>
                <w:sz w:val="12"/>
                <w:szCs w:val="16"/>
              </w:rPr>
              <w:t>1 Hour</w:t>
            </w:r>
          </w:p>
        </w:tc>
        <w:tc>
          <w:tcPr>
            <w:tcW w:w="560" w:type="dxa"/>
            <w:shd w:val="clear" w:color="auto" w:fill="ADAFAF" w:themeFill="text2"/>
            <w:vAlign w:val="center"/>
          </w:tcPr>
          <w:p w14:paraId="21BB527F" w14:textId="77777777" w:rsidR="00362187" w:rsidRPr="00EA07FD" w:rsidRDefault="00362187" w:rsidP="00AD2F36">
            <w:pPr>
              <w:spacing w:after="0"/>
              <w:jc w:val="center"/>
              <w:rPr>
                <w:rFonts w:cs="Arial"/>
                <w:sz w:val="12"/>
                <w:szCs w:val="16"/>
              </w:rPr>
            </w:pPr>
            <w:r>
              <w:rPr>
                <w:rFonts w:cs="Arial"/>
                <w:sz w:val="12"/>
                <w:szCs w:val="16"/>
              </w:rPr>
              <w:t>2 Hours</w:t>
            </w:r>
          </w:p>
        </w:tc>
        <w:tc>
          <w:tcPr>
            <w:tcW w:w="540" w:type="dxa"/>
            <w:shd w:val="clear" w:color="auto" w:fill="ADAFAF" w:themeFill="text2"/>
            <w:vAlign w:val="center"/>
          </w:tcPr>
          <w:p w14:paraId="2A588936" w14:textId="77777777" w:rsidR="00362187" w:rsidRPr="00EA07FD" w:rsidRDefault="00362187" w:rsidP="00AD2F36">
            <w:pPr>
              <w:spacing w:after="0"/>
              <w:jc w:val="center"/>
              <w:rPr>
                <w:rFonts w:cs="Arial"/>
                <w:sz w:val="12"/>
                <w:szCs w:val="16"/>
              </w:rPr>
            </w:pPr>
            <w:r>
              <w:rPr>
                <w:rFonts w:cs="Arial"/>
                <w:sz w:val="12"/>
                <w:szCs w:val="16"/>
              </w:rPr>
              <w:t>1 Day</w:t>
            </w:r>
          </w:p>
        </w:tc>
      </w:tr>
      <w:tr w:rsidR="00362187" w:rsidRPr="00BC665D" w14:paraId="1302F887" w14:textId="77777777" w:rsidTr="00AD2F36">
        <w:trPr>
          <w:trHeight w:val="783"/>
          <w:tblCellSpacing w:w="20" w:type="dxa"/>
        </w:trPr>
        <w:tc>
          <w:tcPr>
            <w:tcW w:w="591" w:type="dxa"/>
            <w:vMerge/>
            <w:shd w:val="clear" w:color="auto" w:fill="FFFFFF" w:themeFill="background1"/>
          </w:tcPr>
          <w:p w14:paraId="5E5138E5" w14:textId="77777777" w:rsidR="00362187" w:rsidRPr="00EA07FD" w:rsidRDefault="00362187" w:rsidP="00AD2F36">
            <w:pPr>
              <w:spacing w:after="0"/>
              <w:jc w:val="left"/>
              <w:rPr>
                <w:rFonts w:cs="Arial"/>
                <w:b/>
                <w:sz w:val="12"/>
                <w:szCs w:val="16"/>
              </w:rPr>
            </w:pPr>
          </w:p>
        </w:tc>
        <w:tc>
          <w:tcPr>
            <w:tcW w:w="1030" w:type="dxa"/>
            <w:vAlign w:val="center"/>
          </w:tcPr>
          <w:p w14:paraId="6D008966" w14:textId="77777777" w:rsidR="00362187" w:rsidRPr="00EA07FD" w:rsidRDefault="00362187" w:rsidP="00AD2F36">
            <w:pPr>
              <w:spacing w:after="0"/>
              <w:jc w:val="center"/>
              <w:rPr>
                <w:rFonts w:cs="Arial"/>
                <w:b/>
                <w:sz w:val="12"/>
                <w:szCs w:val="16"/>
              </w:rPr>
            </w:pPr>
            <w:r w:rsidRPr="00EA07FD">
              <w:rPr>
                <w:rFonts w:cs="Arial"/>
                <w:b/>
                <w:sz w:val="12"/>
                <w:szCs w:val="16"/>
              </w:rPr>
              <w:t>Remedial Engineer Actions Commence</w:t>
            </w:r>
          </w:p>
        </w:tc>
        <w:tc>
          <w:tcPr>
            <w:tcW w:w="559" w:type="dxa"/>
            <w:shd w:val="clear" w:color="auto" w:fill="FFFFFF" w:themeFill="background1"/>
            <w:vAlign w:val="center"/>
          </w:tcPr>
          <w:p w14:paraId="48A3F096" w14:textId="77777777" w:rsidR="00362187" w:rsidRPr="00EA07FD" w:rsidRDefault="00362187" w:rsidP="00AD2F36">
            <w:pPr>
              <w:spacing w:after="0"/>
              <w:jc w:val="center"/>
              <w:rPr>
                <w:rFonts w:cs="Arial"/>
                <w:sz w:val="12"/>
                <w:szCs w:val="16"/>
              </w:rPr>
            </w:pPr>
            <w:r>
              <w:rPr>
                <w:rFonts w:cs="Arial"/>
                <w:sz w:val="12"/>
                <w:szCs w:val="16"/>
              </w:rPr>
              <w:t>1 Hour</w:t>
            </w:r>
          </w:p>
        </w:tc>
        <w:tc>
          <w:tcPr>
            <w:tcW w:w="560" w:type="dxa"/>
            <w:shd w:val="clear" w:color="auto" w:fill="FFFFFF" w:themeFill="background1"/>
            <w:vAlign w:val="center"/>
          </w:tcPr>
          <w:p w14:paraId="54517EEF" w14:textId="77777777" w:rsidR="00362187" w:rsidRPr="00EA07FD" w:rsidRDefault="00362187" w:rsidP="00AD2F36">
            <w:pPr>
              <w:spacing w:after="0"/>
              <w:jc w:val="center"/>
              <w:rPr>
                <w:rFonts w:cs="Arial"/>
                <w:sz w:val="12"/>
                <w:szCs w:val="16"/>
              </w:rPr>
            </w:pPr>
            <w:r>
              <w:rPr>
                <w:rFonts w:cs="Arial"/>
                <w:sz w:val="12"/>
                <w:szCs w:val="16"/>
              </w:rPr>
              <w:t>2 Hours</w:t>
            </w:r>
          </w:p>
        </w:tc>
        <w:tc>
          <w:tcPr>
            <w:tcW w:w="560" w:type="dxa"/>
            <w:shd w:val="clear" w:color="auto" w:fill="FFFFFF" w:themeFill="background1"/>
            <w:vAlign w:val="center"/>
          </w:tcPr>
          <w:p w14:paraId="557F8BDC" w14:textId="77777777" w:rsidR="00362187" w:rsidRPr="00EA07FD" w:rsidRDefault="00362187" w:rsidP="00AD2F36">
            <w:pPr>
              <w:spacing w:after="0"/>
              <w:jc w:val="center"/>
              <w:rPr>
                <w:rFonts w:cs="Arial"/>
                <w:sz w:val="12"/>
                <w:szCs w:val="16"/>
              </w:rPr>
            </w:pPr>
            <w:r>
              <w:rPr>
                <w:rFonts w:cs="Arial"/>
                <w:sz w:val="12"/>
                <w:szCs w:val="16"/>
              </w:rPr>
              <w:t>4 Hours</w:t>
            </w:r>
          </w:p>
        </w:tc>
        <w:tc>
          <w:tcPr>
            <w:tcW w:w="560" w:type="dxa"/>
            <w:shd w:val="clear" w:color="auto" w:fill="FFFFFF" w:themeFill="background1"/>
            <w:vAlign w:val="center"/>
          </w:tcPr>
          <w:p w14:paraId="19256C7D" w14:textId="77777777" w:rsidR="00362187" w:rsidRPr="00EA07FD" w:rsidRDefault="00362187" w:rsidP="00AD2F36">
            <w:pPr>
              <w:spacing w:after="0"/>
              <w:jc w:val="center"/>
              <w:rPr>
                <w:rFonts w:cs="Arial"/>
                <w:sz w:val="12"/>
                <w:szCs w:val="16"/>
              </w:rPr>
            </w:pPr>
            <w:r>
              <w:rPr>
                <w:rFonts w:cs="Arial"/>
                <w:sz w:val="12"/>
                <w:szCs w:val="16"/>
              </w:rPr>
              <w:t>12 Hours</w:t>
            </w:r>
          </w:p>
        </w:tc>
        <w:tc>
          <w:tcPr>
            <w:tcW w:w="540" w:type="dxa"/>
            <w:shd w:val="clear" w:color="auto" w:fill="FFFFFF" w:themeFill="background1"/>
            <w:vAlign w:val="center"/>
          </w:tcPr>
          <w:p w14:paraId="4BBFAAA9" w14:textId="77777777" w:rsidR="00362187" w:rsidRPr="00EA07FD" w:rsidRDefault="00362187" w:rsidP="00AD2F36">
            <w:pPr>
              <w:spacing w:after="0"/>
              <w:jc w:val="center"/>
              <w:rPr>
                <w:rFonts w:cs="Arial"/>
                <w:sz w:val="12"/>
                <w:szCs w:val="16"/>
              </w:rPr>
            </w:pPr>
            <w:r>
              <w:rPr>
                <w:rFonts w:cs="Arial"/>
                <w:sz w:val="12"/>
                <w:szCs w:val="16"/>
              </w:rPr>
              <w:t>N/A</w:t>
            </w:r>
          </w:p>
        </w:tc>
      </w:tr>
      <w:tr w:rsidR="00362187" w:rsidRPr="00BC665D" w14:paraId="4F4CE82A" w14:textId="77777777" w:rsidTr="00AD2F36">
        <w:trPr>
          <w:trHeight w:val="632"/>
          <w:tblCellSpacing w:w="20" w:type="dxa"/>
        </w:trPr>
        <w:tc>
          <w:tcPr>
            <w:tcW w:w="591" w:type="dxa"/>
            <w:vMerge/>
            <w:shd w:val="clear" w:color="auto" w:fill="FFFFFF" w:themeFill="background1"/>
          </w:tcPr>
          <w:p w14:paraId="7405126E" w14:textId="77777777" w:rsidR="00362187" w:rsidRPr="00EA07FD" w:rsidRDefault="00362187" w:rsidP="00AD2F36">
            <w:pPr>
              <w:spacing w:after="0"/>
              <w:jc w:val="left"/>
              <w:rPr>
                <w:rFonts w:cs="Arial"/>
                <w:b/>
                <w:sz w:val="12"/>
                <w:szCs w:val="16"/>
              </w:rPr>
            </w:pPr>
          </w:p>
        </w:tc>
        <w:tc>
          <w:tcPr>
            <w:tcW w:w="1030" w:type="dxa"/>
            <w:shd w:val="clear" w:color="auto" w:fill="ADAFAF" w:themeFill="text2"/>
            <w:vAlign w:val="center"/>
          </w:tcPr>
          <w:p w14:paraId="01A0F96E" w14:textId="77777777" w:rsidR="00362187" w:rsidRPr="00EA07FD" w:rsidRDefault="00362187" w:rsidP="00AD2F36">
            <w:pPr>
              <w:spacing w:after="0"/>
              <w:jc w:val="center"/>
              <w:rPr>
                <w:rFonts w:cs="Arial"/>
                <w:b/>
                <w:sz w:val="12"/>
                <w:szCs w:val="16"/>
              </w:rPr>
            </w:pPr>
            <w:r w:rsidRPr="00EA07FD">
              <w:rPr>
                <w:rFonts w:cs="Arial"/>
                <w:b/>
                <w:sz w:val="12"/>
                <w:szCs w:val="16"/>
              </w:rPr>
              <w:t>Time to Resolve Fault**</w:t>
            </w:r>
          </w:p>
        </w:tc>
        <w:tc>
          <w:tcPr>
            <w:tcW w:w="559" w:type="dxa"/>
            <w:shd w:val="clear" w:color="auto" w:fill="ADAFAF" w:themeFill="text2"/>
            <w:vAlign w:val="center"/>
          </w:tcPr>
          <w:p w14:paraId="178DA0FE" w14:textId="77777777" w:rsidR="00362187" w:rsidRPr="00EA07FD" w:rsidRDefault="00362187" w:rsidP="00AD2F36">
            <w:pPr>
              <w:spacing w:after="0"/>
              <w:jc w:val="center"/>
              <w:rPr>
                <w:rFonts w:cs="Arial"/>
                <w:sz w:val="12"/>
                <w:szCs w:val="16"/>
              </w:rPr>
            </w:pPr>
            <w:r>
              <w:rPr>
                <w:rFonts w:cs="Arial"/>
                <w:sz w:val="12"/>
                <w:szCs w:val="16"/>
              </w:rPr>
              <w:t>5 Hours</w:t>
            </w:r>
          </w:p>
        </w:tc>
        <w:tc>
          <w:tcPr>
            <w:tcW w:w="560" w:type="dxa"/>
            <w:shd w:val="clear" w:color="auto" w:fill="ADAFAF" w:themeFill="text2"/>
            <w:vAlign w:val="center"/>
          </w:tcPr>
          <w:p w14:paraId="2F65F450" w14:textId="77777777" w:rsidR="00362187" w:rsidRPr="00EA07FD" w:rsidRDefault="00362187" w:rsidP="00AD2F36">
            <w:pPr>
              <w:spacing w:after="0"/>
              <w:jc w:val="center"/>
              <w:rPr>
                <w:rFonts w:cs="Arial"/>
                <w:sz w:val="12"/>
                <w:szCs w:val="16"/>
              </w:rPr>
            </w:pPr>
            <w:r>
              <w:rPr>
                <w:rFonts w:cs="Arial"/>
                <w:sz w:val="12"/>
                <w:szCs w:val="16"/>
              </w:rPr>
              <w:t>5 Hours</w:t>
            </w:r>
          </w:p>
        </w:tc>
        <w:tc>
          <w:tcPr>
            <w:tcW w:w="560" w:type="dxa"/>
            <w:shd w:val="clear" w:color="auto" w:fill="ADAFAF" w:themeFill="text2"/>
            <w:vAlign w:val="center"/>
          </w:tcPr>
          <w:p w14:paraId="755A5D57" w14:textId="77777777" w:rsidR="00362187" w:rsidRPr="00EA07FD" w:rsidRDefault="00362187" w:rsidP="00AD2F36">
            <w:pPr>
              <w:spacing w:after="0"/>
              <w:jc w:val="center"/>
              <w:rPr>
                <w:rFonts w:cs="Arial"/>
                <w:sz w:val="12"/>
                <w:szCs w:val="16"/>
              </w:rPr>
            </w:pPr>
            <w:r>
              <w:rPr>
                <w:rFonts w:cs="Arial"/>
                <w:sz w:val="12"/>
                <w:szCs w:val="16"/>
              </w:rPr>
              <w:t>24 Hours</w:t>
            </w:r>
          </w:p>
        </w:tc>
        <w:tc>
          <w:tcPr>
            <w:tcW w:w="560" w:type="dxa"/>
            <w:shd w:val="clear" w:color="auto" w:fill="ADAFAF" w:themeFill="text2"/>
            <w:vAlign w:val="center"/>
          </w:tcPr>
          <w:p w14:paraId="26BBC49C" w14:textId="77777777" w:rsidR="00362187" w:rsidRPr="00EA07FD" w:rsidRDefault="00362187" w:rsidP="00AD2F36">
            <w:pPr>
              <w:spacing w:after="0"/>
              <w:jc w:val="center"/>
              <w:rPr>
                <w:rFonts w:cs="Arial"/>
                <w:sz w:val="12"/>
                <w:szCs w:val="16"/>
              </w:rPr>
            </w:pPr>
            <w:r>
              <w:rPr>
                <w:rFonts w:cs="Arial"/>
                <w:sz w:val="12"/>
                <w:szCs w:val="16"/>
              </w:rPr>
              <w:t>72 Hours</w:t>
            </w:r>
          </w:p>
        </w:tc>
        <w:tc>
          <w:tcPr>
            <w:tcW w:w="540" w:type="dxa"/>
            <w:shd w:val="clear" w:color="auto" w:fill="ADAFAF" w:themeFill="text2"/>
            <w:vAlign w:val="center"/>
          </w:tcPr>
          <w:p w14:paraId="0C72696B" w14:textId="77777777" w:rsidR="00362187" w:rsidRDefault="00362187" w:rsidP="00AD2F36">
            <w:pPr>
              <w:spacing w:after="0"/>
              <w:jc w:val="center"/>
              <w:rPr>
                <w:rFonts w:cs="Arial"/>
                <w:sz w:val="12"/>
                <w:szCs w:val="16"/>
              </w:rPr>
            </w:pPr>
            <w:r>
              <w:rPr>
                <w:rFonts w:cs="Arial"/>
                <w:sz w:val="12"/>
                <w:szCs w:val="16"/>
              </w:rPr>
              <w:t>5 Days</w:t>
            </w:r>
          </w:p>
          <w:p w14:paraId="1C42F20F" w14:textId="77777777" w:rsidR="00362187" w:rsidRPr="00EA07FD" w:rsidRDefault="00362187" w:rsidP="00AD2F36">
            <w:pPr>
              <w:spacing w:after="0"/>
              <w:jc w:val="center"/>
              <w:rPr>
                <w:rFonts w:cs="Arial"/>
                <w:sz w:val="12"/>
                <w:szCs w:val="16"/>
              </w:rPr>
            </w:pPr>
            <w:r>
              <w:rPr>
                <w:rFonts w:cs="Arial"/>
                <w:sz w:val="12"/>
                <w:szCs w:val="16"/>
              </w:rPr>
              <w:t>***</w:t>
            </w:r>
          </w:p>
        </w:tc>
      </w:tr>
    </w:tbl>
    <w:p w14:paraId="479E1285" w14:textId="77777777" w:rsidR="00362187" w:rsidRPr="00362187" w:rsidRDefault="00362187" w:rsidP="00362187"/>
    <w:tbl>
      <w:tblPr>
        <w:tblStyle w:val="TableGrid"/>
        <w:tblW w:w="4720" w:type="dxa"/>
        <w:tblCellSpacing w:w="20" w:type="dxa"/>
        <w:tblInd w:w="-126" w:type="dxa"/>
        <w:tblBorders>
          <w:top w:val="single" w:sz="4" w:space="0" w:color="A6A6A6"/>
          <w:left w:val="single" w:sz="4" w:space="0" w:color="A6A6A6"/>
          <w:bottom w:val="single" w:sz="4" w:space="0" w:color="A6A6A6"/>
          <w:right w:val="single" w:sz="4" w:space="0" w:color="A6A6A6"/>
          <w:insideH w:val="none" w:sz="0" w:space="0" w:color="auto"/>
          <w:insideV w:val="none" w:sz="0" w:space="0" w:color="auto"/>
        </w:tblBorders>
        <w:tblCellMar>
          <w:top w:w="28" w:type="dxa"/>
          <w:bottom w:w="28" w:type="dxa"/>
        </w:tblCellMar>
        <w:tblLook w:val="01E0" w:firstRow="1" w:lastRow="1" w:firstColumn="1" w:lastColumn="1" w:noHBand="0" w:noVBand="0"/>
      </w:tblPr>
      <w:tblGrid>
        <w:gridCol w:w="651"/>
        <w:gridCol w:w="1070"/>
        <w:gridCol w:w="592"/>
        <w:gridCol w:w="593"/>
        <w:gridCol w:w="597"/>
        <w:gridCol w:w="597"/>
        <w:gridCol w:w="620"/>
      </w:tblGrid>
      <w:tr w:rsidR="00362187" w:rsidRPr="00BC665D" w14:paraId="27C2C595" w14:textId="77777777" w:rsidTr="00AD2F36">
        <w:trPr>
          <w:trHeight w:val="595"/>
          <w:tblCellSpacing w:w="20" w:type="dxa"/>
        </w:trPr>
        <w:tc>
          <w:tcPr>
            <w:tcW w:w="591" w:type="dxa"/>
            <w:vMerge w:val="restart"/>
            <w:shd w:val="clear" w:color="auto" w:fill="FFFFFF" w:themeFill="background1"/>
            <w:textDirection w:val="btLr"/>
          </w:tcPr>
          <w:p w14:paraId="00B9228A" w14:textId="07C49672" w:rsidR="00362187" w:rsidRPr="00EA07FD" w:rsidRDefault="00362187" w:rsidP="00AD2F36">
            <w:pPr>
              <w:ind w:left="113" w:right="113"/>
              <w:jc w:val="center"/>
              <w:rPr>
                <w:rFonts w:cs="Arial"/>
                <w:b/>
                <w:color w:val="FFFFFF"/>
                <w:sz w:val="12"/>
                <w:szCs w:val="16"/>
              </w:rPr>
            </w:pPr>
            <w:r>
              <w:rPr>
                <w:rFonts w:cs="Arial"/>
                <w:b/>
                <w:color w:val="auto"/>
                <w:sz w:val="12"/>
                <w:szCs w:val="16"/>
              </w:rPr>
              <w:t>Non-B</w:t>
            </w:r>
            <w:r w:rsidRPr="00EA07FD">
              <w:rPr>
                <w:rFonts w:cs="Arial"/>
                <w:b/>
                <w:color w:val="auto"/>
                <w:sz w:val="12"/>
                <w:szCs w:val="16"/>
              </w:rPr>
              <w:t>usiness Hours</w:t>
            </w:r>
          </w:p>
        </w:tc>
        <w:tc>
          <w:tcPr>
            <w:tcW w:w="1030" w:type="dxa"/>
            <w:shd w:val="clear" w:color="auto" w:fill="323232" w:themeFill="text1"/>
            <w:vAlign w:val="bottom"/>
          </w:tcPr>
          <w:p w14:paraId="596EB59D" w14:textId="77777777" w:rsidR="00362187" w:rsidRPr="00EA07FD" w:rsidRDefault="00362187" w:rsidP="00AD2F36">
            <w:pPr>
              <w:rPr>
                <w:rFonts w:cs="Arial"/>
                <w:b/>
                <w:color w:val="FFFFFF"/>
                <w:sz w:val="12"/>
                <w:szCs w:val="16"/>
              </w:rPr>
            </w:pPr>
            <w:r w:rsidRPr="00EA07FD">
              <w:rPr>
                <w:rFonts w:cs="Arial"/>
                <w:b/>
                <w:color w:val="FFFFFF"/>
                <w:sz w:val="12"/>
                <w:szCs w:val="16"/>
              </w:rPr>
              <w:t>Description</w:t>
            </w:r>
          </w:p>
        </w:tc>
        <w:tc>
          <w:tcPr>
            <w:tcW w:w="559" w:type="dxa"/>
            <w:shd w:val="clear" w:color="auto" w:fill="323232" w:themeFill="text1"/>
            <w:vAlign w:val="bottom"/>
          </w:tcPr>
          <w:p w14:paraId="073A2BB2" w14:textId="77777777" w:rsidR="00362187" w:rsidRPr="00EA07FD" w:rsidRDefault="00362187" w:rsidP="00AD2F36">
            <w:pPr>
              <w:jc w:val="center"/>
              <w:rPr>
                <w:rFonts w:cs="Arial"/>
                <w:b/>
                <w:color w:val="FFFFFF"/>
                <w:sz w:val="12"/>
                <w:szCs w:val="16"/>
              </w:rPr>
            </w:pPr>
            <w:r w:rsidRPr="00EA07FD">
              <w:rPr>
                <w:rFonts w:cs="Arial"/>
                <w:b/>
                <w:color w:val="FFFFFF"/>
                <w:sz w:val="12"/>
                <w:szCs w:val="16"/>
              </w:rPr>
              <w:t xml:space="preserve">Cat </w:t>
            </w:r>
            <w:r>
              <w:rPr>
                <w:rFonts w:cs="Arial"/>
                <w:b/>
                <w:color w:val="FFFFFF"/>
                <w:sz w:val="12"/>
                <w:szCs w:val="16"/>
              </w:rPr>
              <w:t>1</w:t>
            </w:r>
          </w:p>
        </w:tc>
        <w:tc>
          <w:tcPr>
            <w:tcW w:w="560" w:type="dxa"/>
            <w:shd w:val="clear" w:color="auto" w:fill="323232" w:themeFill="text1"/>
            <w:vAlign w:val="bottom"/>
          </w:tcPr>
          <w:p w14:paraId="5DAAFA91" w14:textId="77777777" w:rsidR="00362187" w:rsidRPr="00EA07FD" w:rsidRDefault="00362187" w:rsidP="00AD2F36">
            <w:pPr>
              <w:jc w:val="center"/>
              <w:rPr>
                <w:rFonts w:cs="Arial"/>
                <w:b/>
                <w:color w:val="FFFFFF"/>
                <w:sz w:val="12"/>
                <w:szCs w:val="16"/>
              </w:rPr>
            </w:pPr>
            <w:r>
              <w:rPr>
                <w:rFonts w:cs="Arial"/>
                <w:b/>
                <w:color w:val="FFFFFF"/>
                <w:sz w:val="12"/>
                <w:szCs w:val="16"/>
              </w:rPr>
              <w:t>Cat 2</w:t>
            </w:r>
          </w:p>
        </w:tc>
        <w:tc>
          <w:tcPr>
            <w:tcW w:w="560" w:type="dxa"/>
            <w:shd w:val="clear" w:color="auto" w:fill="323232" w:themeFill="text1"/>
            <w:vAlign w:val="bottom"/>
          </w:tcPr>
          <w:p w14:paraId="035B81A5" w14:textId="77777777" w:rsidR="00362187" w:rsidRPr="00EA07FD" w:rsidRDefault="00362187" w:rsidP="00AD2F36">
            <w:pPr>
              <w:jc w:val="center"/>
              <w:rPr>
                <w:rFonts w:cs="Arial"/>
                <w:b/>
                <w:color w:val="FFFFFF"/>
                <w:sz w:val="12"/>
                <w:szCs w:val="16"/>
              </w:rPr>
            </w:pPr>
            <w:r>
              <w:rPr>
                <w:rFonts w:cs="Arial"/>
                <w:b/>
                <w:color w:val="FFFFFF"/>
                <w:sz w:val="12"/>
                <w:szCs w:val="16"/>
              </w:rPr>
              <w:t>Cat 3</w:t>
            </w:r>
          </w:p>
        </w:tc>
        <w:tc>
          <w:tcPr>
            <w:tcW w:w="560" w:type="dxa"/>
            <w:shd w:val="clear" w:color="auto" w:fill="323232" w:themeFill="text1"/>
            <w:vAlign w:val="bottom"/>
          </w:tcPr>
          <w:p w14:paraId="688938CF" w14:textId="77777777" w:rsidR="00362187" w:rsidRDefault="00362187" w:rsidP="00AD2F36">
            <w:pPr>
              <w:jc w:val="center"/>
              <w:rPr>
                <w:rFonts w:cs="Arial"/>
                <w:b/>
                <w:color w:val="FFFFFF"/>
                <w:sz w:val="12"/>
                <w:szCs w:val="16"/>
              </w:rPr>
            </w:pPr>
            <w:r>
              <w:rPr>
                <w:rFonts w:cs="Arial"/>
                <w:b/>
                <w:color w:val="FFFFFF"/>
                <w:sz w:val="12"/>
                <w:szCs w:val="16"/>
              </w:rPr>
              <w:t>Cat 4</w:t>
            </w:r>
          </w:p>
        </w:tc>
        <w:tc>
          <w:tcPr>
            <w:tcW w:w="540" w:type="dxa"/>
            <w:shd w:val="clear" w:color="auto" w:fill="323232" w:themeFill="text1"/>
            <w:vAlign w:val="bottom"/>
          </w:tcPr>
          <w:p w14:paraId="73553AEF" w14:textId="77777777" w:rsidR="00362187" w:rsidRDefault="00362187" w:rsidP="00AD2F36">
            <w:pPr>
              <w:jc w:val="center"/>
              <w:rPr>
                <w:rFonts w:cs="Arial"/>
                <w:b/>
                <w:color w:val="FFFFFF"/>
                <w:sz w:val="12"/>
                <w:szCs w:val="16"/>
              </w:rPr>
            </w:pPr>
            <w:r>
              <w:rPr>
                <w:rFonts w:cs="Arial"/>
                <w:b/>
                <w:color w:val="FFFFFF"/>
                <w:sz w:val="12"/>
                <w:szCs w:val="16"/>
              </w:rPr>
              <w:t>Cat 5</w:t>
            </w:r>
          </w:p>
        </w:tc>
      </w:tr>
      <w:tr w:rsidR="00362187" w:rsidRPr="00BC665D" w14:paraId="65E78CF0" w14:textId="77777777" w:rsidTr="00AD2F36">
        <w:trPr>
          <w:trHeight w:val="934"/>
          <w:tblCellSpacing w:w="20" w:type="dxa"/>
        </w:trPr>
        <w:tc>
          <w:tcPr>
            <w:tcW w:w="591" w:type="dxa"/>
            <w:vMerge/>
            <w:shd w:val="clear" w:color="auto" w:fill="FFFFFF" w:themeFill="background1"/>
          </w:tcPr>
          <w:p w14:paraId="7622A830" w14:textId="77777777" w:rsidR="00362187" w:rsidRPr="00EA07FD" w:rsidRDefault="00362187" w:rsidP="00AD2F36">
            <w:pPr>
              <w:spacing w:after="0"/>
              <w:jc w:val="left"/>
              <w:rPr>
                <w:rFonts w:cs="Arial"/>
                <w:b/>
                <w:sz w:val="12"/>
                <w:szCs w:val="16"/>
              </w:rPr>
            </w:pPr>
          </w:p>
        </w:tc>
        <w:tc>
          <w:tcPr>
            <w:tcW w:w="1030" w:type="dxa"/>
            <w:shd w:val="clear" w:color="auto" w:fill="ADAFAF" w:themeFill="text2"/>
            <w:vAlign w:val="center"/>
          </w:tcPr>
          <w:p w14:paraId="2A9B2915" w14:textId="77777777" w:rsidR="00362187" w:rsidRPr="00EA07FD" w:rsidRDefault="00362187" w:rsidP="00AD2F36">
            <w:pPr>
              <w:spacing w:after="0"/>
              <w:jc w:val="center"/>
              <w:rPr>
                <w:rFonts w:cs="Arial"/>
                <w:b/>
                <w:sz w:val="12"/>
                <w:szCs w:val="16"/>
              </w:rPr>
            </w:pPr>
            <w:r w:rsidRPr="00EA07FD">
              <w:rPr>
                <w:rFonts w:cs="Arial"/>
                <w:b/>
                <w:sz w:val="12"/>
                <w:szCs w:val="16"/>
              </w:rPr>
              <w:t>Faults &amp; Technical Queries Acknowledge-</w:t>
            </w:r>
            <w:proofErr w:type="spellStart"/>
            <w:r w:rsidRPr="00EA07FD">
              <w:rPr>
                <w:rFonts w:cs="Arial"/>
                <w:b/>
                <w:sz w:val="12"/>
                <w:szCs w:val="16"/>
              </w:rPr>
              <w:t>ment</w:t>
            </w:r>
            <w:proofErr w:type="spellEnd"/>
            <w:r w:rsidRPr="00EA07FD">
              <w:rPr>
                <w:rFonts w:cs="Arial"/>
                <w:b/>
                <w:sz w:val="12"/>
                <w:szCs w:val="16"/>
              </w:rPr>
              <w:t>*</w:t>
            </w:r>
          </w:p>
        </w:tc>
        <w:tc>
          <w:tcPr>
            <w:tcW w:w="559" w:type="dxa"/>
            <w:shd w:val="clear" w:color="auto" w:fill="ADAFAF" w:themeFill="text2"/>
            <w:vAlign w:val="center"/>
          </w:tcPr>
          <w:p w14:paraId="1D83D6FC" w14:textId="077AA27C" w:rsidR="00362187" w:rsidRPr="00EA07FD" w:rsidRDefault="00362187" w:rsidP="00AD2F36">
            <w:pPr>
              <w:spacing w:after="0"/>
              <w:jc w:val="center"/>
              <w:rPr>
                <w:rFonts w:cs="Arial"/>
                <w:sz w:val="12"/>
                <w:szCs w:val="16"/>
              </w:rPr>
            </w:pPr>
            <w:r>
              <w:rPr>
                <w:rFonts w:cs="Arial"/>
                <w:sz w:val="12"/>
                <w:szCs w:val="16"/>
              </w:rPr>
              <w:t>60 mins</w:t>
            </w:r>
          </w:p>
        </w:tc>
        <w:tc>
          <w:tcPr>
            <w:tcW w:w="560" w:type="dxa"/>
            <w:shd w:val="clear" w:color="auto" w:fill="ADAFAF" w:themeFill="text2"/>
            <w:vAlign w:val="center"/>
          </w:tcPr>
          <w:p w14:paraId="65DB388B" w14:textId="62F42A9F" w:rsidR="00362187" w:rsidRPr="00EA07FD" w:rsidRDefault="00362187" w:rsidP="00AD2F36">
            <w:pPr>
              <w:spacing w:after="0"/>
              <w:jc w:val="center"/>
              <w:rPr>
                <w:rFonts w:cs="Arial"/>
                <w:sz w:val="12"/>
                <w:szCs w:val="16"/>
              </w:rPr>
            </w:pPr>
            <w:r>
              <w:rPr>
                <w:rFonts w:cs="Arial"/>
                <w:sz w:val="12"/>
                <w:szCs w:val="16"/>
              </w:rPr>
              <w:t>60 Mins</w:t>
            </w:r>
          </w:p>
        </w:tc>
        <w:tc>
          <w:tcPr>
            <w:tcW w:w="560" w:type="dxa"/>
            <w:shd w:val="clear" w:color="auto" w:fill="ADAFAF" w:themeFill="text2"/>
            <w:vAlign w:val="center"/>
          </w:tcPr>
          <w:p w14:paraId="39453A48" w14:textId="77777777" w:rsidR="00362187" w:rsidRDefault="00362187" w:rsidP="00AD2F36">
            <w:pPr>
              <w:spacing w:after="0"/>
              <w:jc w:val="center"/>
              <w:rPr>
                <w:rFonts w:cs="Arial"/>
                <w:sz w:val="12"/>
                <w:szCs w:val="16"/>
              </w:rPr>
            </w:pPr>
            <w:r>
              <w:rPr>
                <w:rFonts w:cs="Arial"/>
                <w:sz w:val="12"/>
                <w:szCs w:val="16"/>
              </w:rPr>
              <w:t>Auto-</w:t>
            </w:r>
          </w:p>
          <w:p w14:paraId="4F5E3B57" w14:textId="6A310ED4" w:rsidR="00362187" w:rsidRDefault="00362187" w:rsidP="00AD2F36">
            <w:pPr>
              <w:spacing w:after="0"/>
              <w:jc w:val="center"/>
              <w:rPr>
                <w:rFonts w:cs="Arial"/>
                <w:sz w:val="12"/>
                <w:szCs w:val="16"/>
              </w:rPr>
            </w:pPr>
            <w:r>
              <w:rPr>
                <w:rFonts w:cs="Arial"/>
                <w:sz w:val="12"/>
                <w:szCs w:val="16"/>
              </w:rPr>
              <w:t>mated</w:t>
            </w:r>
          </w:p>
          <w:p w14:paraId="7712C004" w14:textId="77777777" w:rsidR="00362187" w:rsidRDefault="00362187" w:rsidP="00AD2F36">
            <w:pPr>
              <w:spacing w:after="0"/>
              <w:jc w:val="center"/>
              <w:rPr>
                <w:rFonts w:cs="Arial"/>
                <w:sz w:val="12"/>
                <w:szCs w:val="16"/>
              </w:rPr>
            </w:pPr>
            <w:r>
              <w:rPr>
                <w:rFonts w:cs="Arial"/>
                <w:sz w:val="12"/>
                <w:szCs w:val="16"/>
              </w:rPr>
              <w:t>Email</w:t>
            </w:r>
          </w:p>
          <w:p w14:paraId="086ADD9C" w14:textId="77777777" w:rsidR="00362187" w:rsidRDefault="00362187" w:rsidP="00AD2F36">
            <w:pPr>
              <w:spacing w:after="0"/>
              <w:jc w:val="center"/>
              <w:rPr>
                <w:rFonts w:cs="Arial"/>
                <w:sz w:val="12"/>
                <w:szCs w:val="16"/>
              </w:rPr>
            </w:pPr>
            <w:proofErr w:type="spellStart"/>
            <w:r>
              <w:rPr>
                <w:rFonts w:cs="Arial"/>
                <w:sz w:val="12"/>
                <w:szCs w:val="16"/>
              </w:rPr>
              <w:t>Resp</w:t>
            </w:r>
            <w:proofErr w:type="spellEnd"/>
            <w:r>
              <w:rPr>
                <w:rFonts w:cs="Arial"/>
                <w:sz w:val="12"/>
                <w:szCs w:val="16"/>
              </w:rPr>
              <w:t>-</w:t>
            </w:r>
          </w:p>
          <w:p w14:paraId="261512C6" w14:textId="3821D65D" w:rsidR="00362187" w:rsidRPr="00EA07FD" w:rsidRDefault="00362187" w:rsidP="00AD2F36">
            <w:pPr>
              <w:spacing w:after="0"/>
              <w:jc w:val="center"/>
              <w:rPr>
                <w:rFonts w:cs="Arial"/>
                <w:sz w:val="12"/>
                <w:szCs w:val="16"/>
              </w:rPr>
            </w:pPr>
            <w:proofErr w:type="spellStart"/>
            <w:r>
              <w:rPr>
                <w:rFonts w:cs="Arial"/>
                <w:sz w:val="12"/>
                <w:szCs w:val="16"/>
              </w:rPr>
              <w:t>onse</w:t>
            </w:r>
            <w:proofErr w:type="spellEnd"/>
          </w:p>
        </w:tc>
        <w:tc>
          <w:tcPr>
            <w:tcW w:w="560" w:type="dxa"/>
            <w:shd w:val="clear" w:color="auto" w:fill="ADAFAF" w:themeFill="text2"/>
            <w:vAlign w:val="center"/>
          </w:tcPr>
          <w:p w14:paraId="2064E8C1" w14:textId="77777777" w:rsidR="00362187" w:rsidRDefault="00362187" w:rsidP="00362187">
            <w:pPr>
              <w:spacing w:after="0"/>
              <w:jc w:val="center"/>
              <w:rPr>
                <w:rFonts w:cs="Arial"/>
                <w:sz w:val="12"/>
                <w:szCs w:val="16"/>
              </w:rPr>
            </w:pPr>
            <w:r>
              <w:rPr>
                <w:rFonts w:cs="Arial"/>
                <w:sz w:val="12"/>
                <w:szCs w:val="16"/>
              </w:rPr>
              <w:t>Auto-</w:t>
            </w:r>
          </w:p>
          <w:p w14:paraId="5A41F586" w14:textId="77777777" w:rsidR="00362187" w:rsidRDefault="00362187" w:rsidP="00362187">
            <w:pPr>
              <w:spacing w:after="0"/>
              <w:jc w:val="center"/>
              <w:rPr>
                <w:rFonts w:cs="Arial"/>
                <w:sz w:val="12"/>
                <w:szCs w:val="16"/>
              </w:rPr>
            </w:pPr>
            <w:r>
              <w:rPr>
                <w:rFonts w:cs="Arial"/>
                <w:sz w:val="12"/>
                <w:szCs w:val="16"/>
              </w:rPr>
              <w:t>mated</w:t>
            </w:r>
          </w:p>
          <w:p w14:paraId="2F750579" w14:textId="77777777" w:rsidR="00362187" w:rsidRDefault="00362187" w:rsidP="00362187">
            <w:pPr>
              <w:spacing w:after="0"/>
              <w:jc w:val="center"/>
              <w:rPr>
                <w:rFonts w:cs="Arial"/>
                <w:sz w:val="12"/>
                <w:szCs w:val="16"/>
              </w:rPr>
            </w:pPr>
            <w:r>
              <w:rPr>
                <w:rFonts w:cs="Arial"/>
                <w:sz w:val="12"/>
                <w:szCs w:val="16"/>
              </w:rPr>
              <w:t>Email</w:t>
            </w:r>
          </w:p>
          <w:p w14:paraId="375FCD19" w14:textId="77777777" w:rsidR="00362187" w:rsidRDefault="00362187" w:rsidP="00362187">
            <w:pPr>
              <w:spacing w:after="0"/>
              <w:jc w:val="center"/>
              <w:rPr>
                <w:rFonts w:cs="Arial"/>
                <w:sz w:val="12"/>
                <w:szCs w:val="16"/>
              </w:rPr>
            </w:pPr>
            <w:proofErr w:type="spellStart"/>
            <w:r>
              <w:rPr>
                <w:rFonts w:cs="Arial"/>
                <w:sz w:val="12"/>
                <w:szCs w:val="16"/>
              </w:rPr>
              <w:t>Resp</w:t>
            </w:r>
            <w:proofErr w:type="spellEnd"/>
            <w:r>
              <w:rPr>
                <w:rFonts w:cs="Arial"/>
                <w:sz w:val="12"/>
                <w:szCs w:val="16"/>
              </w:rPr>
              <w:t>-</w:t>
            </w:r>
          </w:p>
          <w:p w14:paraId="117E0D73" w14:textId="714BFF43" w:rsidR="00362187" w:rsidRPr="00EA07FD" w:rsidRDefault="00362187" w:rsidP="00362187">
            <w:pPr>
              <w:spacing w:after="0"/>
              <w:jc w:val="center"/>
              <w:rPr>
                <w:rFonts w:cs="Arial"/>
                <w:sz w:val="12"/>
                <w:szCs w:val="16"/>
              </w:rPr>
            </w:pPr>
            <w:proofErr w:type="spellStart"/>
            <w:r>
              <w:rPr>
                <w:rFonts w:cs="Arial"/>
                <w:sz w:val="12"/>
                <w:szCs w:val="16"/>
              </w:rPr>
              <w:t>onse</w:t>
            </w:r>
            <w:proofErr w:type="spellEnd"/>
          </w:p>
        </w:tc>
        <w:tc>
          <w:tcPr>
            <w:tcW w:w="540" w:type="dxa"/>
            <w:shd w:val="clear" w:color="auto" w:fill="ADAFAF" w:themeFill="text2"/>
            <w:vAlign w:val="center"/>
          </w:tcPr>
          <w:p w14:paraId="2C60DC79" w14:textId="77777777" w:rsidR="00362187" w:rsidRDefault="00362187" w:rsidP="00362187">
            <w:pPr>
              <w:spacing w:after="0"/>
              <w:jc w:val="center"/>
              <w:rPr>
                <w:rFonts w:cs="Arial"/>
                <w:sz w:val="12"/>
                <w:szCs w:val="16"/>
              </w:rPr>
            </w:pPr>
            <w:r>
              <w:rPr>
                <w:rFonts w:cs="Arial"/>
                <w:sz w:val="12"/>
                <w:szCs w:val="16"/>
              </w:rPr>
              <w:t>Auto-</w:t>
            </w:r>
          </w:p>
          <w:p w14:paraId="1AF6D298" w14:textId="77777777" w:rsidR="00362187" w:rsidRDefault="00362187" w:rsidP="00362187">
            <w:pPr>
              <w:spacing w:after="0"/>
              <w:jc w:val="center"/>
              <w:rPr>
                <w:rFonts w:cs="Arial"/>
                <w:sz w:val="12"/>
                <w:szCs w:val="16"/>
              </w:rPr>
            </w:pPr>
            <w:r>
              <w:rPr>
                <w:rFonts w:cs="Arial"/>
                <w:sz w:val="12"/>
                <w:szCs w:val="16"/>
              </w:rPr>
              <w:t>mated</w:t>
            </w:r>
          </w:p>
          <w:p w14:paraId="09F9D362" w14:textId="77777777" w:rsidR="00362187" w:rsidRDefault="00362187" w:rsidP="00362187">
            <w:pPr>
              <w:spacing w:after="0"/>
              <w:jc w:val="center"/>
              <w:rPr>
                <w:rFonts w:cs="Arial"/>
                <w:sz w:val="12"/>
                <w:szCs w:val="16"/>
              </w:rPr>
            </w:pPr>
            <w:r>
              <w:rPr>
                <w:rFonts w:cs="Arial"/>
                <w:sz w:val="12"/>
                <w:szCs w:val="16"/>
              </w:rPr>
              <w:t>Email</w:t>
            </w:r>
          </w:p>
          <w:p w14:paraId="502F18FD" w14:textId="77777777" w:rsidR="00362187" w:rsidRDefault="00362187" w:rsidP="00362187">
            <w:pPr>
              <w:spacing w:after="0"/>
              <w:jc w:val="center"/>
              <w:rPr>
                <w:rFonts w:cs="Arial"/>
                <w:sz w:val="12"/>
                <w:szCs w:val="16"/>
              </w:rPr>
            </w:pPr>
            <w:proofErr w:type="spellStart"/>
            <w:r>
              <w:rPr>
                <w:rFonts w:cs="Arial"/>
                <w:sz w:val="12"/>
                <w:szCs w:val="16"/>
              </w:rPr>
              <w:t>Resp</w:t>
            </w:r>
            <w:proofErr w:type="spellEnd"/>
            <w:r>
              <w:rPr>
                <w:rFonts w:cs="Arial"/>
                <w:sz w:val="12"/>
                <w:szCs w:val="16"/>
              </w:rPr>
              <w:t>-</w:t>
            </w:r>
          </w:p>
          <w:p w14:paraId="2BD6AE40" w14:textId="39DE7934" w:rsidR="00362187" w:rsidRPr="00EA07FD" w:rsidRDefault="00362187" w:rsidP="00362187">
            <w:pPr>
              <w:spacing w:after="0"/>
              <w:jc w:val="center"/>
              <w:rPr>
                <w:rFonts w:cs="Arial"/>
                <w:sz w:val="12"/>
                <w:szCs w:val="16"/>
              </w:rPr>
            </w:pPr>
            <w:proofErr w:type="spellStart"/>
            <w:r>
              <w:rPr>
                <w:rFonts w:cs="Arial"/>
                <w:sz w:val="12"/>
                <w:szCs w:val="16"/>
              </w:rPr>
              <w:t>onse</w:t>
            </w:r>
            <w:proofErr w:type="spellEnd"/>
          </w:p>
        </w:tc>
      </w:tr>
      <w:tr w:rsidR="00362187" w:rsidRPr="00BC665D" w14:paraId="230FFA73" w14:textId="77777777" w:rsidTr="00AD2F36">
        <w:trPr>
          <w:trHeight w:val="783"/>
          <w:tblCellSpacing w:w="20" w:type="dxa"/>
        </w:trPr>
        <w:tc>
          <w:tcPr>
            <w:tcW w:w="591" w:type="dxa"/>
            <w:vMerge/>
            <w:shd w:val="clear" w:color="auto" w:fill="FFFFFF" w:themeFill="background1"/>
          </w:tcPr>
          <w:p w14:paraId="7F16BC29" w14:textId="06C469F7" w:rsidR="00362187" w:rsidRPr="00EA07FD" w:rsidRDefault="00362187" w:rsidP="00AD2F36">
            <w:pPr>
              <w:spacing w:after="0"/>
              <w:jc w:val="left"/>
              <w:rPr>
                <w:rFonts w:cs="Arial"/>
                <w:b/>
                <w:sz w:val="12"/>
                <w:szCs w:val="16"/>
              </w:rPr>
            </w:pPr>
          </w:p>
        </w:tc>
        <w:tc>
          <w:tcPr>
            <w:tcW w:w="1030" w:type="dxa"/>
            <w:vAlign w:val="center"/>
          </w:tcPr>
          <w:p w14:paraId="263D5D18" w14:textId="77777777" w:rsidR="00362187" w:rsidRPr="00EA07FD" w:rsidRDefault="00362187" w:rsidP="00AD2F36">
            <w:pPr>
              <w:spacing w:after="0"/>
              <w:jc w:val="center"/>
              <w:rPr>
                <w:rFonts w:cs="Arial"/>
                <w:b/>
                <w:sz w:val="12"/>
                <w:szCs w:val="16"/>
              </w:rPr>
            </w:pPr>
            <w:r w:rsidRPr="00EA07FD">
              <w:rPr>
                <w:rFonts w:cs="Arial"/>
                <w:b/>
                <w:sz w:val="12"/>
                <w:szCs w:val="16"/>
              </w:rPr>
              <w:t>Remedial Engineer Actions Commence</w:t>
            </w:r>
          </w:p>
        </w:tc>
        <w:tc>
          <w:tcPr>
            <w:tcW w:w="559" w:type="dxa"/>
            <w:shd w:val="clear" w:color="auto" w:fill="FFFFFF" w:themeFill="background1"/>
            <w:vAlign w:val="center"/>
          </w:tcPr>
          <w:p w14:paraId="1B292049" w14:textId="220BC1CA" w:rsidR="00362187" w:rsidRPr="00EA07FD" w:rsidRDefault="00362187" w:rsidP="00AD2F36">
            <w:pPr>
              <w:spacing w:after="0"/>
              <w:jc w:val="center"/>
              <w:rPr>
                <w:rFonts w:cs="Arial"/>
                <w:sz w:val="12"/>
                <w:szCs w:val="16"/>
              </w:rPr>
            </w:pPr>
            <w:r>
              <w:rPr>
                <w:rFonts w:cs="Arial"/>
                <w:sz w:val="12"/>
                <w:szCs w:val="16"/>
              </w:rPr>
              <w:t>2 Hours</w:t>
            </w:r>
          </w:p>
        </w:tc>
        <w:tc>
          <w:tcPr>
            <w:tcW w:w="560" w:type="dxa"/>
            <w:shd w:val="clear" w:color="auto" w:fill="FFFFFF" w:themeFill="background1"/>
            <w:vAlign w:val="center"/>
          </w:tcPr>
          <w:p w14:paraId="13C85DB3" w14:textId="77777777" w:rsidR="00362187" w:rsidRPr="00EA07FD" w:rsidRDefault="00362187" w:rsidP="00AD2F36">
            <w:pPr>
              <w:spacing w:after="0"/>
              <w:jc w:val="center"/>
              <w:rPr>
                <w:rFonts w:cs="Arial"/>
                <w:sz w:val="12"/>
                <w:szCs w:val="16"/>
              </w:rPr>
            </w:pPr>
            <w:r>
              <w:rPr>
                <w:rFonts w:cs="Arial"/>
                <w:sz w:val="12"/>
                <w:szCs w:val="16"/>
              </w:rPr>
              <w:t>2 Hours</w:t>
            </w:r>
          </w:p>
        </w:tc>
        <w:tc>
          <w:tcPr>
            <w:tcW w:w="560" w:type="dxa"/>
            <w:shd w:val="clear" w:color="auto" w:fill="FFFFFF" w:themeFill="background1"/>
            <w:vAlign w:val="center"/>
          </w:tcPr>
          <w:p w14:paraId="08BF52F4" w14:textId="4AEC2A13" w:rsidR="00362187" w:rsidRPr="00EA07FD" w:rsidRDefault="00362187" w:rsidP="00AD2F36">
            <w:pPr>
              <w:spacing w:after="0"/>
              <w:jc w:val="center"/>
              <w:rPr>
                <w:rFonts w:cs="Arial"/>
                <w:sz w:val="12"/>
                <w:szCs w:val="16"/>
              </w:rPr>
            </w:pPr>
            <w:r>
              <w:rPr>
                <w:rFonts w:cs="Arial"/>
                <w:sz w:val="12"/>
                <w:szCs w:val="16"/>
              </w:rPr>
              <w:t>N/A</w:t>
            </w:r>
          </w:p>
        </w:tc>
        <w:tc>
          <w:tcPr>
            <w:tcW w:w="560" w:type="dxa"/>
            <w:shd w:val="clear" w:color="auto" w:fill="FFFFFF" w:themeFill="background1"/>
            <w:vAlign w:val="center"/>
          </w:tcPr>
          <w:p w14:paraId="2EDE1396" w14:textId="1CFA620B" w:rsidR="00362187" w:rsidRPr="00EA07FD" w:rsidRDefault="00362187" w:rsidP="00AD2F36">
            <w:pPr>
              <w:spacing w:after="0"/>
              <w:jc w:val="center"/>
              <w:rPr>
                <w:rFonts w:cs="Arial"/>
                <w:sz w:val="12"/>
                <w:szCs w:val="16"/>
              </w:rPr>
            </w:pPr>
            <w:r>
              <w:rPr>
                <w:rFonts w:cs="Arial"/>
                <w:sz w:val="12"/>
                <w:szCs w:val="16"/>
              </w:rPr>
              <w:t>N/A</w:t>
            </w:r>
          </w:p>
        </w:tc>
        <w:tc>
          <w:tcPr>
            <w:tcW w:w="540" w:type="dxa"/>
            <w:shd w:val="clear" w:color="auto" w:fill="FFFFFF" w:themeFill="background1"/>
            <w:vAlign w:val="center"/>
          </w:tcPr>
          <w:p w14:paraId="18A23D22" w14:textId="77777777" w:rsidR="00362187" w:rsidRPr="00EA07FD" w:rsidRDefault="00362187" w:rsidP="00AD2F36">
            <w:pPr>
              <w:spacing w:after="0"/>
              <w:jc w:val="center"/>
              <w:rPr>
                <w:rFonts w:cs="Arial"/>
                <w:sz w:val="12"/>
                <w:szCs w:val="16"/>
              </w:rPr>
            </w:pPr>
            <w:r>
              <w:rPr>
                <w:rFonts w:cs="Arial"/>
                <w:sz w:val="12"/>
                <w:szCs w:val="16"/>
              </w:rPr>
              <w:t>N/A</w:t>
            </w:r>
          </w:p>
        </w:tc>
      </w:tr>
      <w:tr w:rsidR="00362187" w:rsidRPr="00BC665D" w14:paraId="76235B02" w14:textId="77777777" w:rsidTr="00AD2F36">
        <w:trPr>
          <w:trHeight w:val="632"/>
          <w:tblCellSpacing w:w="20" w:type="dxa"/>
        </w:trPr>
        <w:tc>
          <w:tcPr>
            <w:tcW w:w="591" w:type="dxa"/>
            <w:vMerge/>
            <w:shd w:val="clear" w:color="auto" w:fill="FFFFFF" w:themeFill="background1"/>
          </w:tcPr>
          <w:p w14:paraId="3707D0FD" w14:textId="77777777" w:rsidR="00362187" w:rsidRPr="00EA07FD" w:rsidRDefault="00362187" w:rsidP="00AD2F36">
            <w:pPr>
              <w:spacing w:after="0"/>
              <w:jc w:val="left"/>
              <w:rPr>
                <w:rFonts w:cs="Arial"/>
                <w:b/>
                <w:sz w:val="12"/>
                <w:szCs w:val="16"/>
              </w:rPr>
            </w:pPr>
          </w:p>
        </w:tc>
        <w:tc>
          <w:tcPr>
            <w:tcW w:w="1030" w:type="dxa"/>
            <w:shd w:val="clear" w:color="auto" w:fill="ADAFAF" w:themeFill="text2"/>
            <w:vAlign w:val="center"/>
          </w:tcPr>
          <w:p w14:paraId="41E95120" w14:textId="77777777" w:rsidR="00362187" w:rsidRPr="00EA07FD" w:rsidRDefault="00362187" w:rsidP="00AD2F36">
            <w:pPr>
              <w:spacing w:after="0"/>
              <w:jc w:val="center"/>
              <w:rPr>
                <w:rFonts w:cs="Arial"/>
                <w:b/>
                <w:sz w:val="12"/>
                <w:szCs w:val="16"/>
              </w:rPr>
            </w:pPr>
            <w:r w:rsidRPr="00EA07FD">
              <w:rPr>
                <w:rFonts w:cs="Arial"/>
                <w:b/>
                <w:sz w:val="12"/>
                <w:szCs w:val="16"/>
              </w:rPr>
              <w:t>Time to Resolve Fault**</w:t>
            </w:r>
          </w:p>
        </w:tc>
        <w:tc>
          <w:tcPr>
            <w:tcW w:w="559" w:type="dxa"/>
            <w:shd w:val="clear" w:color="auto" w:fill="ADAFAF" w:themeFill="text2"/>
            <w:vAlign w:val="center"/>
          </w:tcPr>
          <w:p w14:paraId="2EDA22F3" w14:textId="77777777" w:rsidR="00362187" w:rsidRPr="00EA07FD" w:rsidRDefault="00362187" w:rsidP="00AD2F36">
            <w:pPr>
              <w:spacing w:after="0"/>
              <w:jc w:val="center"/>
              <w:rPr>
                <w:rFonts w:cs="Arial"/>
                <w:sz w:val="12"/>
                <w:szCs w:val="16"/>
              </w:rPr>
            </w:pPr>
            <w:r>
              <w:rPr>
                <w:rFonts w:cs="Arial"/>
                <w:sz w:val="12"/>
                <w:szCs w:val="16"/>
              </w:rPr>
              <w:t>5 Hours</w:t>
            </w:r>
          </w:p>
        </w:tc>
        <w:tc>
          <w:tcPr>
            <w:tcW w:w="560" w:type="dxa"/>
            <w:shd w:val="clear" w:color="auto" w:fill="ADAFAF" w:themeFill="text2"/>
            <w:vAlign w:val="center"/>
          </w:tcPr>
          <w:p w14:paraId="017B9474" w14:textId="77777777" w:rsidR="00362187" w:rsidRPr="00EA07FD" w:rsidRDefault="00362187" w:rsidP="00AD2F36">
            <w:pPr>
              <w:spacing w:after="0"/>
              <w:jc w:val="center"/>
              <w:rPr>
                <w:rFonts w:cs="Arial"/>
                <w:sz w:val="12"/>
                <w:szCs w:val="16"/>
              </w:rPr>
            </w:pPr>
            <w:r>
              <w:rPr>
                <w:rFonts w:cs="Arial"/>
                <w:sz w:val="12"/>
                <w:szCs w:val="16"/>
              </w:rPr>
              <w:t>5 Hours</w:t>
            </w:r>
          </w:p>
        </w:tc>
        <w:tc>
          <w:tcPr>
            <w:tcW w:w="560" w:type="dxa"/>
            <w:shd w:val="clear" w:color="auto" w:fill="ADAFAF" w:themeFill="text2"/>
            <w:vAlign w:val="center"/>
          </w:tcPr>
          <w:p w14:paraId="7CFAE740" w14:textId="4A169EEB" w:rsidR="00362187" w:rsidRPr="00EA07FD" w:rsidRDefault="00362187" w:rsidP="00AD2F36">
            <w:pPr>
              <w:spacing w:after="0"/>
              <w:jc w:val="center"/>
              <w:rPr>
                <w:rFonts w:cs="Arial"/>
                <w:sz w:val="12"/>
                <w:szCs w:val="16"/>
              </w:rPr>
            </w:pPr>
            <w:r>
              <w:rPr>
                <w:rFonts w:cs="Arial"/>
                <w:sz w:val="12"/>
                <w:szCs w:val="16"/>
              </w:rPr>
              <w:t>N/A</w:t>
            </w:r>
          </w:p>
        </w:tc>
        <w:tc>
          <w:tcPr>
            <w:tcW w:w="560" w:type="dxa"/>
            <w:shd w:val="clear" w:color="auto" w:fill="ADAFAF" w:themeFill="text2"/>
            <w:vAlign w:val="center"/>
          </w:tcPr>
          <w:p w14:paraId="40867C89" w14:textId="5DCCAC0C" w:rsidR="00362187" w:rsidRPr="00EA07FD" w:rsidRDefault="00362187" w:rsidP="00AD2F36">
            <w:pPr>
              <w:spacing w:after="0"/>
              <w:jc w:val="center"/>
              <w:rPr>
                <w:rFonts w:cs="Arial"/>
                <w:sz w:val="12"/>
                <w:szCs w:val="16"/>
              </w:rPr>
            </w:pPr>
            <w:r>
              <w:rPr>
                <w:rFonts w:cs="Arial"/>
                <w:sz w:val="12"/>
                <w:szCs w:val="16"/>
              </w:rPr>
              <w:t>N/A</w:t>
            </w:r>
          </w:p>
        </w:tc>
        <w:tc>
          <w:tcPr>
            <w:tcW w:w="540" w:type="dxa"/>
            <w:shd w:val="clear" w:color="auto" w:fill="ADAFAF" w:themeFill="text2"/>
            <w:vAlign w:val="center"/>
          </w:tcPr>
          <w:p w14:paraId="604C9CAC" w14:textId="3337F37D" w:rsidR="00362187" w:rsidRPr="00EA07FD" w:rsidRDefault="00362187" w:rsidP="00AD2F36">
            <w:pPr>
              <w:spacing w:after="0"/>
              <w:jc w:val="center"/>
              <w:rPr>
                <w:rFonts w:cs="Arial"/>
                <w:sz w:val="12"/>
                <w:szCs w:val="16"/>
              </w:rPr>
            </w:pPr>
            <w:r>
              <w:rPr>
                <w:rFonts w:cs="Arial"/>
                <w:sz w:val="12"/>
                <w:szCs w:val="16"/>
              </w:rPr>
              <w:t>N/A</w:t>
            </w:r>
          </w:p>
        </w:tc>
      </w:tr>
    </w:tbl>
    <w:p w14:paraId="2D8A3F75" w14:textId="4C74885B" w:rsidR="007F7A91" w:rsidRDefault="007F7A91" w:rsidP="00797E34">
      <w:pPr>
        <w:rPr>
          <w:color w:val="F79220"/>
          <w:sz w:val="24"/>
          <w:szCs w:val="24"/>
        </w:rPr>
      </w:pPr>
    </w:p>
    <w:p w14:paraId="5319A72E" w14:textId="77777777" w:rsidR="007F7A91" w:rsidRDefault="007F7A91" w:rsidP="00797E34">
      <w:r>
        <w:t xml:space="preserve">All 1 &amp; 2 faults should be raised via the tickets system then followed by a phone call. </w:t>
      </w:r>
    </w:p>
    <w:p w14:paraId="2BE7CA3E" w14:textId="77777777" w:rsidR="007F7A91" w:rsidRDefault="007F7A91" w:rsidP="00797E34">
      <w:r>
        <w:t xml:space="preserve">* Acknowledgement refers to an automated service which generates a response and alerts engineers of a service failure; or where there is dialogue between the client and the engineer. </w:t>
      </w:r>
    </w:p>
    <w:p w14:paraId="0B020AEF" w14:textId="77777777" w:rsidR="007F7A91" w:rsidRDefault="007F7A91" w:rsidP="00797E34">
      <w:r>
        <w:t xml:space="preserve">** We will use reasonable endeavours to adhere to the TTRF guidelines. Where fault resolution involves third parties, or hardware replacement, then this is subject to the support contracts in place with those parties. For Uncontended Services the TTRF assumes that the BT Enhanced Care option has been taken as outlined in 5.2 </w:t>
      </w:r>
    </w:p>
    <w:p w14:paraId="430BD5AD" w14:textId="77777777" w:rsidR="007F7A91" w:rsidRDefault="007F7A91" w:rsidP="00797E34">
      <w:r>
        <w:t xml:space="preserve">*** Change requests will be completed during business hours within 5 days where requests are conducted within the support contract. This does not include change requests outside of the support contract, or change request implemented outside normal business hours these will be dealt with as chargeable projects. </w:t>
      </w:r>
    </w:p>
    <w:p w14:paraId="0357D1B2" w14:textId="3D88B836" w:rsidR="007F7A91" w:rsidRPr="007F7A91" w:rsidRDefault="00BD4FA9" w:rsidP="00362187">
      <w:pPr>
        <w:pStyle w:val="Heading2"/>
      </w:pPr>
      <w:r>
        <w:t>Service c</w:t>
      </w:r>
      <w:r w:rsidR="007F7A91">
        <w:t>redits</w:t>
      </w:r>
      <w:r w:rsidR="007F7A91" w:rsidRPr="007F7A91">
        <w:t xml:space="preserve"> </w:t>
      </w:r>
    </w:p>
    <w:p w14:paraId="346CBE40" w14:textId="77777777" w:rsidR="007F7A91" w:rsidRDefault="007F7A91" w:rsidP="00797E34">
      <w:r>
        <w:t xml:space="preserve">Node4 will provide the Customer with Service Credits, as set out below, for the failure to meet the following target: </w:t>
      </w:r>
    </w:p>
    <w:p w14:paraId="7B0BFA5E" w14:textId="78D343CC" w:rsidR="007F7A91" w:rsidRPr="007F7A91" w:rsidRDefault="00362187" w:rsidP="00362187">
      <w:pPr>
        <w:pStyle w:val="Heading3"/>
      </w:pPr>
      <w:r>
        <w:t xml:space="preserve"> </w:t>
      </w:r>
      <w:proofErr w:type="spellStart"/>
      <w:r>
        <w:t>DDo</w:t>
      </w:r>
      <w:r w:rsidR="00BD4FA9">
        <w:t>S</w:t>
      </w:r>
      <w:proofErr w:type="spellEnd"/>
      <w:r w:rsidR="00BD4FA9">
        <w:t xml:space="preserve"> m</w:t>
      </w:r>
      <w:r w:rsidR="007F7A91">
        <w:t>itigation</w:t>
      </w:r>
    </w:p>
    <w:p w14:paraId="2F29244A" w14:textId="3597F1F3" w:rsidR="007F7A91" w:rsidRDefault="007F7A91" w:rsidP="00797E34">
      <w:r>
        <w:t>In the event that a volumetric DDoS attack takes place the following SLA to mitigate the DDoS attack and restore customer service is applied. All DDoS attacks are prioritised as a Severity 1 issues, and are given the highest priority to resolve, the target time to resolve is 60 minutes.</w:t>
      </w:r>
    </w:p>
    <w:tbl>
      <w:tblPr>
        <w:tblStyle w:val="TableGrid"/>
        <w:tblW w:w="4799" w:type="dxa"/>
        <w:tblCellSpacing w:w="20" w:type="dxa"/>
        <w:tblInd w:w="-126" w:type="dxa"/>
        <w:tblBorders>
          <w:top w:val="single" w:sz="4" w:space="0" w:color="A6A6A6"/>
          <w:left w:val="single" w:sz="4" w:space="0" w:color="A6A6A6"/>
          <w:bottom w:val="single" w:sz="4" w:space="0" w:color="A6A6A6"/>
          <w:right w:val="single" w:sz="4" w:space="0" w:color="A6A6A6"/>
          <w:insideH w:val="none" w:sz="0" w:space="0" w:color="auto"/>
          <w:insideV w:val="none" w:sz="0" w:space="0" w:color="auto"/>
        </w:tblBorders>
        <w:tblCellMar>
          <w:top w:w="28" w:type="dxa"/>
          <w:bottom w:w="28" w:type="dxa"/>
        </w:tblCellMar>
        <w:tblLook w:val="01E0" w:firstRow="1" w:lastRow="1" w:firstColumn="1" w:lastColumn="1" w:noHBand="0" w:noVBand="0"/>
      </w:tblPr>
      <w:tblGrid>
        <w:gridCol w:w="2248"/>
        <w:gridCol w:w="2551"/>
      </w:tblGrid>
      <w:tr w:rsidR="00362187" w:rsidRPr="00BC665D" w14:paraId="480391D6" w14:textId="77777777" w:rsidTr="006C0EA1">
        <w:trPr>
          <w:trHeight w:val="631"/>
          <w:tblCellSpacing w:w="20" w:type="dxa"/>
        </w:trPr>
        <w:tc>
          <w:tcPr>
            <w:tcW w:w="2188" w:type="dxa"/>
            <w:shd w:val="clear" w:color="auto" w:fill="323232" w:themeFill="text1"/>
            <w:vAlign w:val="bottom"/>
          </w:tcPr>
          <w:p w14:paraId="7AE87C37" w14:textId="23E57578" w:rsidR="00362187" w:rsidRPr="00713767" w:rsidRDefault="00362187" w:rsidP="006C0EA1">
            <w:pPr>
              <w:jc w:val="center"/>
              <w:rPr>
                <w:rFonts w:cs="Arial"/>
                <w:b/>
                <w:color w:val="FFFFFF"/>
                <w:sz w:val="14"/>
                <w:szCs w:val="16"/>
              </w:rPr>
            </w:pPr>
            <w:r>
              <w:rPr>
                <w:rFonts w:cs="Arial"/>
                <w:b/>
                <w:color w:val="FFFFFF"/>
                <w:sz w:val="14"/>
                <w:szCs w:val="16"/>
              </w:rPr>
              <w:lastRenderedPageBreak/>
              <w:t>DDoS Outages Above 60 Minutes Per Incident (In Minutes)</w:t>
            </w:r>
          </w:p>
        </w:tc>
        <w:tc>
          <w:tcPr>
            <w:tcW w:w="2491" w:type="dxa"/>
            <w:shd w:val="clear" w:color="auto" w:fill="323232" w:themeFill="text1"/>
            <w:vAlign w:val="bottom"/>
          </w:tcPr>
          <w:p w14:paraId="43F24D7B" w14:textId="4491DDCA" w:rsidR="00362187" w:rsidRPr="00713767" w:rsidRDefault="00362187" w:rsidP="006C0EA1">
            <w:pPr>
              <w:jc w:val="center"/>
              <w:rPr>
                <w:rFonts w:cs="Arial"/>
                <w:b/>
                <w:color w:val="FFFFFF"/>
                <w:sz w:val="14"/>
                <w:szCs w:val="16"/>
              </w:rPr>
            </w:pPr>
            <w:r>
              <w:rPr>
                <w:rFonts w:cs="Arial"/>
                <w:b/>
                <w:color w:val="FFFFFF"/>
                <w:sz w:val="14"/>
                <w:szCs w:val="16"/>
              </w:rPr>
              <w:t>Service Credits (Percentage of Monthly Recurring Fees for the Service at the Relevant Customer Site)</w:t>
            </w:r>
          </w:p>
        </w:tc>
      </w:tr>
      <w:tr w:rsidR="00362187" w:rsidRPr="00BC665D" w14:paraId="31FB4888" w14:textId="77777777" w:rsidTr="00362187">
        <w:trPr>
          <w:tblCellSpacing w:w="20" w:type="dxa"/>
        </w:trPr>
        <w:tc>
          <w:tcPr>
            <w:tcW w:w="2188" w:type="dxa"/>
            <w:shd w:val="clear" w:color="auto" w:fill="ADAFAF" w:themeFill="text2"/>
          </w:tcPr>
          <w:p w14:paraId="014D1C83" w14:textId="4A230337" w:rsidR="00362187" w:rsidRPr="00713767" w:rsidRDefault="00362187" w:rsidP="00362187">
            <w:pPr>
              <w:jc w:val="center"/>
              <w:rPr>
                <w:rFonts w:cs="Arial"/>
                <w:b/>
                <w:sz w:val="14"/>
                <w:szCs w:val="16"/>
              </w:rPr>
            </w:pPr>
            <w:r>
              <w:rPr>
                <w:rFonts w:cs="Arial"/>
                <w:b/>
                <w:sz w:val="14"/>
                <w:szCs w:val="16"/>
              </w:rPr>
              <w:t>&lt;60</w:t>
            </w:r>
          </w:p>
        </w:tc>
        <w:tc>
          <w:tcPr>
            <w:tcW w:w="2491" w:type="dxa"/>
            <w:shd w:val="clear" w:color="auto" w:fill="ADAFAF" w:themeFill="text2"/>
          </w:tcPr>
          <w:p w14:paraId="064B7DC6" w14:textId="6BCDF470" w:rsidR="00362187" w:rsidRPr="00713767" w:rsidRDefault="00362187" w:rsidP="00AD2F36">
            <w:pPr>
              <w:jc w:val="center"/>
              <w:rPr>
                <w:rFonts w:cs="Arial"/>
                <w:sz w:val="14"/>
                <w:szCs w:val="16"/>
              </w:rPr>
            </w:pPr>
            <w:r>
              <w:rPr>
                <w:rFonts w:cs="Arial"/>
                <w:sz w:val="14"/>
                <w:szCs w:val="16"/>
              </w:rPr>
              <w:t>0%</w:t>
            </w:r>
          </w:p>
        </w:tc>
      </w:tr>
      <w:tr w:rsidR="00362187" w:rsidRPr="00BC665D" w14:paraId="6BCC25A6" w14:textId="77777777" w:rsidTr="00362187">
        <w:trPr>
          <w:tblCellSpacing w:w="20" w:type="dxa"/>
        </w:trPr>
        <w:tc>
          <w:tcPr>
            <w:tcW w:w="2188" w:type="dxa"/>
          </w:tcPr>
          <w:p w14:paraId="5C35C5F3" w14:textId="076D40D2" w:rsidR="00362187" w:rsidRPr="00713767" w:rsidRDefault="00362187" w:rsidP="00362187">
            <w:pPr>
              <w:jc w:val="center"/>
              <w:rPr>
                <w:rFonts w:cs="Arial"/>
                <w:b/>
                <w:sz w:val="14"/>
                <w:szCs w:val="16"/>
              </w:rPr>
            </w:pPr>
            <w:r>
              <w:rPr>
                <w:rFonts w:cs="Arial"/>
                <w:b/>
                <w:sz w:val="14"/>
                <w:szCs w:val="16"/>
              </w:rPr>
              <w:t>&gt;60 – 240</w:t>
            </w:r>
          </w:p>
        </w:tc>
        <w:tc>
          <w:tcPr>
            <w:tcW w:w="2491" w:type="dxa"/>
          </w:tcPr>
          <w:p w14:paraId="15F7DE8F" w14:textId="57275091" w:rsidR="00362187" w:rsidRPr="00713767" w:rsidRDefault="00362187" w:rsidP="00AD2F36">
            <w:pPr>
              <w:jc w:val="center"/>
              <w:rPr>
                <w:rFonts w:cs="Arial"/>
                <w:sz w:val="14"/>
                <w:szCs w:val="16"/>
              </w:rPr>
            </w:pPr>
            <w:r>
              <w:rPr>
                <w:rFonts w:cs="Arial"/>
                <w:sz w:val="14"/>
                <w:szCs w:val="16"/>
              </w:rPr>
              <w:t>5%</w:t>
            </w:r>
          </w:p>
        </w:tc>
      </w:tr>
      <w:tr w:rsidR="00362187" w:rsidRPr="00BC665D" w14:paraId="3F889F6B" w14:textId="77777777" w:rsidTr="00362187">
        <w:trPr>
          <w:tblCellSpacing w:w="20" w:type="dxa"/>
        </w:trPr>
        <w:tc>
          <w:tcPr>
            <w:tcW w:w="2188" w:type="dxa"/>
            <w:shd w:val="clear" w:color="auto" w:fill="ADAFAF" w:themeFill="text2"/>
          </w:tcPr>
          <w:p w14:paraId="11CD4EBD" w14:textId="4ADEFD29" w:rsidR="00362187" w:rsidRPr="00713767" w:rsidRDefault="00362187" w:rsidP="00362187">
            <w:pPr>
              <w:jc w:val="center"/>
              <w:rPr>
                <w:rFonts w:cs="Arial"/>
                <w:b/>
                <w:sz w:val="14"/>
                <w:szCs w:val="16"/>
              </w:rPr>
            </w:pPr>
            <w:r>
              <w:rPr>
                <w:rFonts w:cs="Arial"/>
                <w:b/>
                <w:sz w:val="14"/>
                <w:szCs w:val="16"/>
              </w:rPr>
              <w:t>&gt;240 – 480</w:t>
            </w:r>
          </w:p>
        </w:tc>
        <w:tc>
          <w:tcPr>
            <w:tcW w:w="2491" w:type="dxa"/>
            <w:shd w:val="clear" w:color="auto" w:fill="ADAFAF" w:themeFill="text2"/>
          </w:tcPr>
          <w:p w14:paraId="0C525ED6" w14:textId="1A4AA976" w:rsidR="00362187" w:rsidRPr="00713767" w:rsidRDefault="00362187" w:rsidP="00AD2F36">
            <w:pPr>
              <w:jc w:val="center"/>
              <w:rPr>
                <w:rFonts w:cs="Arial"/>
                <w:sz w:val="14"/>
                <w:szCs w:val="16"/>
              </w:rPr>
            </w:pPr>
            <w:r>
              <w:rPr>
                <w:rFonts w:cs="Arial"/>
                <w:sz w:val="14"/>
                <w:szCs w:val="16"/>
              </w:rPr>
              <w:t>10%</w:t>
            </w:r>
          </w:p>
        </w:tc>
      </w:tr>
      <w:tr w:rsidR="00362187" w:rsidRPr="00BC665D" w14:paraId="5BD75D18" w14:textId="77777777" w:rsidTr="00362187">
        <w:trPr>
          <w:tblCellSpacing w:w="20" w:type="dxa"/>
        </w:trPr>
        <w:tc>
          <w:tcPr>
            <w:tcW w:w="2188" w:type="dxa"/>
          </w:tcPr>
          <w:p w14:paraId="7758A795" w14:textId="0F60A416" w:rsidR="00362187" w:rsidRPr="00362187" w:rsidRDefault="00362187" w:rsidP="00362187">
            <w:pPr>
              <w:ind w:left="530" w:hanging="530"/>
              <w:jc w:val="center"/>
              <w:rPr>
                <w:rFonts w:cs="Arial"/>
                <w:b/>
                <w:sz w:val="14"/>
                <w:szCs w:val="16"/>
              </w:rPr>
            </w:pPr>
            <w:r>
              <w:rPr>
                <w:rFonts w:cs="Arial"/>
                <w:b/>
                <w:sz w:val="14"/>
                <w:szCs w:val="16"/>
              </w:rPr>
              <w:t>&gt;</w:t>
            </w:r>
            <w:r w:rsidRPr="00362187">
              <w:rPr>
                <w:rFonts w:cs="Arial"/>
                <w:b/>
                <w:sz w:val="14"/>
                <w:szCs w:val="16"/>
              </w:rPr>
              <w:t>480</w:t>
            </w:r>
          </w:p>
        </w:tc>
        <w:tc>
          <w:tcPr>
            <w:tcW w:w="2491" w:type="dxa"/>
          </w:tcPr>
          <w:p w14:paraId="1F21E58F" w14:textId="3D53E517" w:rsidR="00362187" w:rsidRPr="00713767" w:rsidRDefault="00362187" w:rsidP="00AD2F36">
            <w:pPr>
              <w:jc w:val="center"/>
              <w:rPr>
                <w:rFonts w:cs="Arial"/>
                <w:sz w:val="14"/>
                <w:szCs w:val="16"/>
              </w:rPr>
            </w:pPr>
            <w:r>
              <w:rPr>
                <w:rFonts w:cs="Arial"/>
                <w:sz w:val="14"/>
                <w:szCs w:val="16"/>
              </w:rPr>
              <w:t>20%</w:t>
            </w:r>
          </w:p>
        </w:tc>
      </w:tr>
    </w:tbl>
    <w:p w14:paraId="2129C08F" w14:textId="16AD638D" w:rsidR="00CB5D30" w:rsidRPr="00362187" w:rsidRDefault="00CB5D30" w:rsidP="00797E34"/>
    <w:p w14:paraId="2F1F788B" w14:textId="2C41EE06" w:rsidR="004C2CA9" w:rsidRPr="004C2CA9" w:rsidRDefault="00362187" w:rsidP="00362187">
      <w:pPr>
        <w:pStyle w:val="Heading3"/>
      </w:pPr>
      <w:r>
        <w:t xml:space="preserve"> </w:t>
      </w:r>
      <w:r w:rsidR="00BD4FA9">
        <w:t>Calculation of service c</w:t>
      </w:r>
      <w:r w:rsidR="004C2CA9">
        <w:t>redits</w:t>
      </w:r>
      <w:r w:rsidR="004C2CA9" w:rsidRPr="004C2CA9">
        <w:t xml:space="preserve"> </w:t>
      </w:r>
    </w:p>
    <w:p w14:paraId="010D76E4" w14:textId="007FEFD8" w:rsidR="00CB5D30" w:rsidRDefault="004C2CA9" w:rsidP="00797E34">
      <w:r>
        <w:t xml:space="preserve">Where a Monthly Review Period incorporates part of a month, any Service credit will apply to a pro-rated Monthly Fee. Service credits will be calculated monthly, aggregated and credited to the Customer on a quarterly basis. If a Service is cancelled during a Monthly Review Period, no Service credit will be payable in respect of that Circuit for that Monthly Review Period. The Customer must claim any Service credit due to a failure to meet the Service levels, in writing, within twenty one (21) business days of the date at which the Customer could reasonably be expected to become aware of such failure. The Customer shall not be entitled to any Service credits in respect of a claim unless and until Node4 has received notice of the claim in writing in accordance with the above. Should Node4 require additional information from the Customer, the Customer shall assist, and shall not be entitled to any Service credits until Node4 has received all the information it has reasonably requested. </w:t>
      </w:r>
    </w:p>
    <w:p w14:paraId="30629C1D" w14:textId="3945BA6C" w:rsidR="004C2CA9" w:rsidRPr="004C2CA9" w:rsidRDefault="00362187" w:rsidP="00362187">
      <w:pPr>
        <w:pStyle w:val="Heading3"/>
      </w:pPr>
      <w:r>
        <w:t xml:space="preserve"> </w:t>
      </w:r>
      <w:r w:rsidR="00BD4FA9">
        <w:t>Exclusions to p</w:t>
      </w:r>
      <w:r w:rsidR="004C2CA9">
        <w:t>ayment of</w:t>
      </w:r>
      <w:r w:rsidR="00BD4FA9">
        <w:t xml:space="preserve"> service c</w:t>
      </w:r>
      <w:bookmarkStart w:id="0" w:name="_GoBack"/>
      <w:bookmarkEnd w:id="0"/>
      <w:r w:rsidR="004C2CA9">
        <w:t>redits</w:t>
      </w:r>
    </w:p>
    <w:p w14:paraId="0487875C" w14:textId="77777777" w:rsidR="004C2CA9" w:rsidRDefault="004C2CA9" w:rsidP="00797E34">
      <w:r>
        <w:t xml:space="preserve">Service credits will not be payable by Node4 to the Customer in relation to the Service Availability for faults or disruptions to the Service caused by any of the following: </w:t>
      </w:r>
    </w:p>
    <w:p w14:paraId="375E9ED5" w14:textId="41F8C278" w:rsidR="004C2CA9" w:rsidRDefault="004C2CA9" w:rsidP="00362187">
      <w:pPr>
        <w:pStyle w:val="ListParagraph"/>
        <w:ind w:left="993"/>
      </w:pPr>
      <w:r>
        <w:t xml:space="preserve">The fault, action or negligence of the Customer, its employees, agents or contractors; </w:t>
      </w:r>
    </w:p>
    <w:p w14:paraId="545BE277" w14:textId="16FB1DEF" w:rsidR="004C2CA9" w:rsidRDefault="004C2CA9" w:rsidP="00362187">
      <w:pPr>
        <w:pStyle w:val="ListParagraph"/>
        <w:ind w:left="993"/>
      </w:pPr>
      <w:r>
        <w:t xml:space="preserve">The Customer failing to comply with Node4’s Standard Terms and Conditions; </w:t>
      </w:r>
    </w:p>
    <w:p w14:paraId="34193E9B" w14:textId="4E1B7D96" w:rsidR="004C2CA9" w:rsidRDefault="004C2CA9" w:rsidP="00362187">
      <w:pPr>
        <w:pStyle w:val="ListParagraph"/>
        <w:ind w:left="993"/>
      </w:pPr>
      <w:r>
        <w:t xml:space="preserve">A fault in, or any other problem associated with, equipment connected on the Customer’s side of the Node4 Network Termination Point, except where such fault or problem is directly </w:t>
      </w:r>
      <w:r>
        <w:t xml:space="preserve">caused by the fault action or negligence of Node4, its employees, agents or contractors; </w:t>
      </w:r>
    </w:p>
    <w:p w14:paraId="1FC5E995" w14:textId="2211A8F4" w:rsidR="004C2CA9" w:rsidRDefault="004C2CA9" w:rsidP="00362187">
      <w:pPr>
        <w:pStyle w:val="ListParagraph"/>
        <w:ind w:left="993"/>
      </w:pPr>
      <w:r>
        <w:t xml:space="preserve">Any event described in Clause 12 (Force Majeure) of Node4’s Standard Terms and Conditions (Schedule 1); </w:t>
      </w:r>
    </w:p>
    <w:p w14:paraId="10EBC100" w14:textId="556CCF3A" w:rsidR="004C2CA9" w:rsidRDefault="004C2CA9" w:rsidP="00362187">
      <w:pPr>
        <w:pStyle w:val="ListParagraph"/>
        <w:ind w:left="993"/>
      </w:pPr>
      <w:r>
        <w:t xml:space="preserve">A failure by the Customer to give Node4 access to any equipment after being requested to do so by Node4; or </w:t>
      </w:r>
    </w:p>
    <w:p w14:paraId="27F99D94" w14:textId="2BF5F037" w:rsidR="004C2CA9" w:rsidRDefault="004C2CA9" w:rsidP="00362187">
      <w:pPr>
        <w:pStyle w:val="ListParagraph"/>
        <w:ind w:left="993"/>
      </w:pPr>
      <w:r>
        <w:t>Mainte</w:t>
      </w:r>
      <w:r w:rsidR="00362187">
        <w:t>nance during any Planned Outage;</w:t>
      </w:r>
    </w:p>
    <w:p w14:paraId="76EFB172" w14:textId="04F79EEB" w:rsidR="004C2CA9" w:rsidRDefault="004C2CA9" w:rsidP="00362187">
      <w:pPr>
        <w:pStyle w:val="ListParagraph"/>
        <w:ind w:left="993"/>
      </w:pPr>
      <w:r>
        <w:t>Where the customer is unable</w:t>
      </w:r>
      <w:r w:rsidR="00362187">
        <w:t xml:space="preserve"> to provide 24 hour site access.</w:t>
      </w:r>
    </w:p>
    <w:p w14:paraId="5206A50B" w14:textId="77777777" w:rsidR="004C2CA9" w:rsidRDefault="004C2CA9" w:rsidP="00797E34">
      <w:r>
        <w:t xml:space="preserve">Service credits are not applicable for more than one breach of any targets outlined in this document arising from the same occurrence. </w:t>
      </w:r>
    </w:p>
    <w:p w14:paraId="00A12FED" w14:textId="77777777" w:rsidR="004C2CA9" w:rsidRDefault="004C2CA9" w:rsidP="00797E34">
      <w:r>
        <w:t xml:space="preserve">In respect of any Monthly Review Period, the total amount of any service credit payable in relation to any service level breach shall not exceed 50% of the Monthly Fees for the affected Service. </w:t>
      </w:r>
    </w:p>
    <w:p w14:paraId="4720D6C8" w14:textId="63F672DB" w:rsidR="004C2CA9" w:rsidRPr="00050B20" w:rsidRDefault="004C2CA9" w:rsidP="00797E34">
      <w:pPr>
        <w:rPr>
          <w:color w:val="F79220"/>
          <w:sz w:val="24"/>
          <w:szCs w:val="24"/>
        </w:rPr>
      </w:pPr>
      <w:r>
        <w:t>The provision of Service credits shall be the sole and exclusive remedy for the failure to meet targets for the Co-location service. Node4 shall have no additional liability to the Customer.</w:t>
      </w:r>
    </w:p>
    <w:sectPr w:rsidR="004C2CA9" w:rsidRPr="00050B20" w:rsidSect="00536852">
      <w:headerReference w:type="default" r:id="rId17"/>
      <w:footerReference w:type="even" r:id="rId18"/>
      <w:footerReference w:type="default" r:id="rId19"/>
      <w:headerReference w:type="first" r:id="rId20"/>
      <w:footerReference w:type="first" r:id="rId21"/>
      <w:type w:val="continuous"/>
      <w:pgSz w:w="11900" w:h="16820"/>
      <w:pgMar w:top="1843" w:right="991" w:bottom="1560" w:left="993" w:header="709" w:footer="486" w:gutter="0"/>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4D3088" w14:textId="77777777" w:rsidR="00D17BB8" w:rsidRDefault="00D17BB8" w:rsidP="00763FA4">
      <w:pPr>
        <w:spacing w:after="0" w:line="240" w:lineRule="auto"/>
      </w:pPr>
      <w:r>
        <w:separator/>
      </w:r>
    </w:p>
  </w:endnote>
  <w:endnote w:type="continuationSeparator" w:id="0">
    <w:p w14:paraId="78C9C0F7" w14:textId="77777777" w:rsidR="00D17BB8" w:rsidRDefault="00D17BB8" w:rsidP="00763F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2BF5F5" w14:textId="77777777" w:rsidR="00462B63" w:rsidRDefault="00462B63">
    <w:pPr>
      <w:pStyle w:val="Footer"/>
    </w:pPr>
  </w:p>
  <w:p w14:paraId="0E8778D2" w14:textId="77777777" w:rsidR="00462B63" w:rsidRDefault="00462B63">
    <w:r>
      <w:br/>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D638D6" w14:textId="15D96AA2" w:rsidR="00462B63" w:rsidRPr="00C97C97" w:rsidRDefault="00462B63" w:rsidP="00CC645D">
    <w:pPr>
      <w:pStyle w:val="Footer"/>
      <w:rPr>
        <w:rFonts w:ascii="Trebuchet MS" w:hAnsi="Trebuchet MS"/>
        <w:color w:val="A6A6A6"/>
      </w:rPr>
    </w:pPr>
    <w:r>
      <w:rPr>
        <w:noProof/>
        <w:lang w:val="en-US"/>
      </w:rPr>
      <mc:AlternateContent>
        <mc:Choice Requires="wps">
          <w:drawing>
            <wp:anchor distT="4294967295" distB="4294967295" distL="114300" distR="114300" simplePos="0" relativeHeight="251659264" behindDoc="0" locked="0" layoutInCell="1" allowOverlap="1" wp14:anchorId="33378196" wp14:editId="5027DEEC">
              <wp:simplePos x="0" y="0"/>
              <wp:positionH relativeFrom="column">
                <wp:posOffset>-1023620</wp:posOffset>
              </wp:positionH>
              <wp:positionV relativeFrom="paragraph">
                <wp:posOffset>60959</wp:posOffset>
              </wp:positionV>
              <wp:extent cx="8394700" cy="0"/>
              <wp:effectExtent l="0" t="0" r="2540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394700" cy="0"/>
                      </a:xfrm>
                      <a:prstGeom prst="line">
                        <a:avLst/>
                      </a:prstGeom>
                      <a:noFill/>
                      <a:ln w="25400" cap="flat" cmpd="sng" algn="ctr">
                        <a:solidFill>
                          <a:schemeClr val="accent1"/>
                        </a:solidFill>
                        <a:prstDash val="solid"/>
                      </a:ln>
                      <a:effectLst/>
                    </wps:spPr>
                    <wps:bodyPr/>
                  </wps:wsp>
                </a:graphicData>
              </a:graphic>
              <wp14:sizeRelH relativeFrom="page">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26B4750" id="Straight Connector 6"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80.6pt,4.8pt" to="580.4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" strokecolor="#f79220 [3204]" strokeweight="2pt">
              <o:lock v:ext="edit" shapetype="f"/>
            </v:line>
          </w:pict>
        </mc:Fallback>
      </mc:AlternateContent>
    </w:r>
  </w:p>
  <w:p w14:paraId="7F4F41DB" w14:textId="478B87C2" w:rsidR="00462B63" w:rsidRPr="00C97C97" w:rsidRDefault="00462B63" w:rsidP="00C97C97">
    <w:pPr>
      <w:pStyle w:val="NoSpacing"/>
      <w:tabs>
        <w:tab w:val="center" w:pos="4961"/>
        <w:tab w:val="right" w:pos="9922"/>
      </w:tabs>
      <w:ind w:right="484"/>
      <w:jc w:val="center"/>
      <w:rPr>
        <w:rFonts w:ascii="Trebuchet MS" w:eastAsia="MS Mincho" w:hAnsi="Trebuchet MS"/>
        <w:bCs/>
        <w:color w:val="F37321"/>
        <w:sz w:val="24"/>
        <w:szCs w:val="24"/>
      </w:rPr>
    </w:pPr>
    <w:r w:rsidRPr="008E3675">
      <w:rPr>
        <w:color w:val="8E908F"/>
        <w:sz w:val="18"/>
        <w:szCs w:val="18"/>
      </w:rPr>
      <w:tab/>
    </w:r>
    <w:sdt>
      <w:sdtPr>
        <w:rPr>
          <w:color w:val="8E908F"/>
          <w:sz w:val="18"/>
          <w:szCs w:val="18"/>
        </w:rPr>
        <w:alias w:val="Title"/>
        <w:tag w:val=""/>
        <w:id w:val="-597567685"/>
        <w:placeholder>
          <w:docPart w:val="50427EA1CB3D4A8D99CDDA77AE5C2155"/>
        </w:placeholder>
        <w:dataBinding w:prefixMappings="xmlns:ns0='http://purl.org/dc/elements/1.1/' xmlns:ns1='http://schemas.openxmlformats.org/package/2006/metadata/core-properties' " w:xpath="/ns1:coreProperties[1]/ns0:title[1]" w:storeItemID="{6C3C8BC8-F283-45AE-878A-BAB7291924A1}"/>
        <w:text/>
      </w:sdtPr>
      <w:sdtEndPr/>
      <w:sdtContent>
        <w:r w:rsidR="00BD4FA9">
          <w:rPr>
            <w:color w:val="8E908F"/>
            <w:sz w:val="18"/>
            <w:szCs w:val="18"/>
          </w:rPr>
          <w:t>Schedule document</w:t>
        </w:r>
      </w:sdtContent>
    </w:sdt>
    <w:r w:rsidRPr="006D16DC">
      <w:rPr>
        <w:color w:val="8E908F"/>
        <w:sz w:val="18"/>
        <w:szCs w:val="18"/>
      </w:rPr>
      <w:t xml:space="preserve"> | </w:t>
    </w:r>
    <w:sdt>
      <w:sdtPr>
        <w:rPr>
          <w:color w:val="8E908F"/>
          <w:sz w:val="18"/>
          <w:szCs w:val="18"/>
        </w:rPr>
        <w:alias w:val="Subject"/>
        <w:tag w:val=""/>
        <w:id w:val="1318616331"/>
        <w:placeholder>
          <w:docPart w:val="50427EA1CB3D4A8D99CDDA77AE5C2155"/>
        </w:placeholder>
        <w:dataBinding w:prefixMappings="xmlns:ns0='http://purl.org/dc/elements/1.1/' xmlns:ns1='http://schemas.openxmlformats.org/package/2006/metadata/core-properties' " w:xpath="/ns1:coreProperties[1]/ns0:subject[1]" w:storeItemID="{6C3C8BC8-F283-45AE-878A-BAB7291924A1}"/>
        <w:text/>
      </w:sdtPr>
      <w:sdtEndPr/>
      <w:sdtContent>
        <w:r w:rsidR="007E2E1C">
          <w:rPr>
            <w:color w:val="8E908F"/>
            <w:sz w:val="18"/>
            <w:szCs w:val="18"/>
          </w:rPr>
          <w:t xml:space="preserve">N4Protect </w:t>
        </w:r>
        <w:proofErr w:type="spellStart"/>
        <w:r w:rsidR="007E2E1C">
          <w:rPr>
            <w:color w:val="8E908F"/>
            <w:sz w:val="18"/>
            <w:szCs w:val="18"/>
          </w:rPr>
          <w:t>DDOS</w:t>
        </w:r>
        <w:proofErr w:type="spellEnd"/>
        <w:r w:rsidR="007E2E1C">
          <w:rPr>
            <w:color w:val="8E908F"/>
            <w:sz w:val="18"/>
            <w:szCs w:val="18"/>
          </w:rPr>
          <w:t xml:space="preserve"> and N4Protect </w:t>
        </w:r>
        <w:proofErr w:type="spellStart"/>
        <w:r w:rsidR="007E2E1C">
          <w:rPr>
            <w:color w:val="8E908F"/>
            <w:sz w:val="18"/>
            <w:szCs w:val="18"/>
          </w:rPr>
          <w:t>DDoS</w:t>
        </w:r>
        <w:proofErr w:type="spellEnd"/>
        <w:r w:rsidR="007E2E1C">
          <w:rPr>
            <w:color w:val="8E908F"/>
            <w:sz w:val="18"/>
            <w:szCs w:val="18"/>
          </w:rPr>
          <w:t>+ Service</w:t>
        </w:r>
      </w:sdtContent>
    </w:sdt>
    <w:r w:rsidRPr="006D16DC">
      <w:rPr>
        <w:color w:val="8E908F"/>
        <w:sz w:val="18"/>
        <w:szCs w:val="18"/>
      </w:rPr>
      <w:t xml:space="preserve"> </w:t>
    </w:r>
    <w:r w:rsidRPr="006D16DC">
      <w:rPr>
        <w:color w:val="8E908F"/>
        <w:sz w:val="18"/>
        <w:szCs w:val="18"/>
      </w:rPr>
      <w:fldChar w:fldCharType="begin"/>
    </w:r>
    <w:r w:rsidRPr="006D16DC">
      <w:rPr>
        <w:color w:val="8E908F"/>
        <w:sz w:val="18"/>
        <w:szCs w:val="18"/>
      </w:rPr>
      <w:instrText xml:space="preserve"> DOCVARIABLE  "Security level"  \* MERGEFORMAT </w:instrText>
    </w:r>
    <w:r w:rsidRPr="006D16DC">
      <w:rPr>
        <w:color w:val="8E908F"/>
        <w:sz w:val="18"/>
        <w:szCs w:val="18"/>
      </w:rPr>
      <w:fldChar w:fldCharType="end"/>
    </w:r>
    <w:r w:rsidRPr="006D16DC">
      <w:rPr>
        <w:color w:val="8E908F"/>
        <w:sz w:val="18"/>
        <w:szCs w:val="18"/>
      </w:rPr>
      <w:t>|</w:t>
    </w:r>
    <w:r w:rsidRPr="006D16DC">
      <w:rPr>
        <w:rStyle w:val="Heading4Char"/>
        <w:color w:val="8E908F"/>
        <w:sz w:val="18"/>
        <w:szCs w:val="18"/>
      </w:rPr>
      <w:t xml:space="preserve"> </w:t>
    </w:r>
    <w:sdt>
      <w:sdtPr>
        <w:rPr>
          <w:rStyle w:val="Footertxt"/>
        </w:rPr>
        <w:alias w:val="Security Level Output"/>
        <w:tag w:val="Security Level Output"/>
        <w:id w:val="1286077588"/>
        <w:placeholder>
          <w:docPart w:val="C3FE86D5B5754E4B8C26B5E0BE22EB98"/>
        </w:placeholder>
        <w:dataBinding w:prefixMappings="xmlns:ns0='Security Type' " w:xpath="/ns0:root[1]/ns0:Security[1]" w:storeItemID="{3B0260BB-1140-42BD-B14A-DF7052E49D72}"/>
        <w:text/>
      </w:sdtPr>
      <w:sdtEndPr>
        <w:rPr>
          <w:rStyle w:val="Footertxt"/>
        </w:rPr>
      </w:sdtEndPr>
      <w:sdtContent>
        <w:r>
          <w:rPr>
            <w:rStyle w:val="Footertxt"/>
          </w:rPr>
          <w:t>Public</w:t>
        </w:r>
      </w:sdtContent>
    </w:sdt>
    <w:r w:rsidRPr="006D16DC">
      <w:rPr>
        <w:color w:val="8E908F"/>
        <w:sz w:val="18"/>
        <w:szCs w:val="18"/>
      </w:rPr>
      <w:t xml:space="preserve"> </w:t>
    </w:r>
    <w:r w:rsidRPr="006D16DC">
      <w:rPr>
        <w:color w:val="8E908F"/>
        <w:sz w:val="18"/>
        <w:szCs w:val="18"/>
      </w:rPr>
      <w:fldChar w:fldCharType="begin"/>
    </w:r>
    <w:r w:rsidRPr="006D16DC">
      <w:rPr>
        <w:color w:val="8E908F"/>
        <w:sz w:val="18"/>
        <w:szCs w:val="18"/>
      </w:rPr>
      <w:instrText xml:space="preserve"> DOCVARIABLE  "Security level"  \* MERGEFORMAT </w:instrText>
    </w:r>
    <w:r w:rsidRPr="006D16DC">
      <w:rPr>
        <w:color w:val="8E908F"/>
        <w:sz w:val="18"/>
        <w:szCs w:val="18"/>
      </w:rPr>
      <w:fldChar w:fldCharType="end"/>
    </w:r>
    <w:r w:rsidRPr="006D16DC">
      <w:rPr>
        <w:color w:val="8E908F"/>
        <w:sz w:val="18"/>
        <w:szCs w:val="18"/>
      </w:rPr>
      <w:t xml:space="preserve">| </w:t>
    </w:r>
    <w:sdt>
      <w:sdtPr>
        <w:rPr>
          <w:color w:val="8E908F"/>
          <w:sz w:val="18"/>
          <w:szCs w:val="18"/>
        </w:rPr>
        <w:alias w:val="Publish Date"/>
        <w:tag w:val=""/>
        <w:id w:val="-557474267"/>
        <w:dataBinding w:prefixMappings="xmlns:ns0='http://schemas.microsoft.com/office/2006/coverPageProps' " w:xpath="/ns0:CoverPageProperties[1]/ns0:PublishDate[1]" w:storeItemID="{55AF091B-3C7A-41E3-B477-F2FDAA23CFDA}"/>
        <w:date w:fullDate="2017-07-28T00:00:00Z">
          <w:dateFormat w:val="dd/MM/yyyy"/>
          <w:lid w:val="en-GB"/>
          <w:storeMappedDataAs w:val="dateTime"/>
          <w:calendar w:val="gregorian"/>
        </w:date>
      </w:sdtPr>
      <w:sdtEndPr/>
      <w:sdtContent>
        <w:r w:rsidR="001216E1">
          <w:rPr>
            <w:color w:val="8E908F"/>
            <w:sz w:val="18"/>
            <w:szCs w:val="18"/>
          </w:rPr>
          <w:t>28/07/2017</w:t>
        </w:r>
      </w:sdtContent>
    </w:sdt>
    <w:r>
      <w:tab/>
    </w:r>
    <w:r>
      <w:fldChar w:fldCharType="begin"/>
    </w:r>
    <w:r>
      <w:instrText xml:space="preserve"> PAGE  \* Arabic  \* MERGEFORMAT </w:instrText>
    </w:r>
    <w:r>
      <w:fldChar w:fldCharType="separate"/>
    </w:r>
    <w:r w:rsidR="00BD4FA9">
      <w:rPr>
        <w:noProof/>
      </w:rPr>
      <w:t>6</w:t>
    </w:r>
    <w:r>
      <w:fldChar w:fldCharType="end"/>
    </w:r>
    <w:r>
      <w:br/>
    </w:r>
  </w:p>
  <w:p w14:paraId="1E9E5FC7" w14:textId="77777777" w:rsidR="00462B63" w:rsidRPr="008E3675" w:rsidRDefault="00462B63" w:rsidP="00067346">
    <w:pPr>
      <w:pStyle w:val="footnote"/>
      <w:rPr>
        <w:color w:val="8E908F"/>
      </w:rPr>
    </w:pPr>
    <w:r w:rsidRPr="008E3675">
      <w:rPr>
        <w:color w:val="8E908F"/>
      </w:rPr>
      <w:t>Node4 Limited | Millennium Way | Pride Park | Derby | DE24 8HZ | 0845 123 2222 | www.node4.co.uk</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6B603B" w14:textId="77777777" w:rsidR="00462B63" w:rsidRDefault="00462B63" w:rsidP="00067346">
    <w:pPr>
      <w:pStyle w:val="footnote"/>
    </w:pPr>
    <w:r>
      <w:rPr>
        <w:noProof/>
        <w:lang w:val="en-US"/>
      </w:rPr>
      <mc:AlternateContent>
        <mc:Choice Requires="wps">
          <w:drawing>
            <wp:anchor distT="4294967295" distB="4294967295" distL="114300" distR="114300" simplePos="0" relativeHeight="251657728" behindDoc="0" locked="0" layoutInCell="1" allowOverlap="1" wp14:anchorId="1D52E6A9" wp14:editId="1067B0E6">
              <wp:simplePos x="0" y="0"/>
              <wp:positionH relativeFrom="column">
                <wp:posOffset>-1023620</wp:posOffset>
              </wp:positionH>
              <wp:positionV relativeFrom="paragraph">
                <wp:posOffset>-154941</wp:posOffset>
              </wp:positionV>
              <wp:extent cx="8394700" cy="0"/>
              <wp:effectExtent l="0" t="0" r="12700" b="2540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394700" cy="0"/>
                      </a:xfrm>
                      <a:prstGeom prst="line">
                        <a:avLst/>
                      </a:prstGeom>
                      <a:noFill/>
                      <a:ln w="25400" cap="flat" cmpd="sng" algn="ctr">
                        <a:solidFill>
                          <a:srgbClr val="F45206"/>
                        </a:solidFill>
                        <a:prstDash val="solid"/>
                      </a:ln>
                      <a:effectLst/>
                    </wps:spPr>
                    <wps:bodyPr/>
                  </wps:wsp>
                </a:graphicData>
              </a:graphic>
              <wp14:sizeRelH relativeFrom="page">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1B9B2C0" id="Straight Connector 14"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80.6pt,-12.2pt" to="580.4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" strokecolor="#f45206" strokeweight="2pt">
              <o:lock v:ext="edit" shapetype="f"/>
            </v:line>
          </w:pict>
        </mc:Fallback>
      </mc:AlternateContent>
    </w:r>
  </w:p>
  <w:p w14:paraId="7D579743" w14:textId="77777777" w:rsidR="00462B63" w:rsidRPr="008E3675" w:rsidRDefault="00462B63" w:rsidP="00067346">
    <w:pPr>
      <w:pStyle w:val="footnote"/>
      <w:rPr>
        <w:rFonts w:cs="Arial"/>
        <w:color w:val="8E908F"/>
      </w:rPr>
    </w:pPr>
    <w:r w:rsidRPr="008E3675">
      <w:rPr>
        <w:rFonts w:cs="Arial"/>
        <w:color w:val="8E908F"/>
      </w:rPr>
      <w:t xml:space="preserve">Node4 Limited | Millennium Way | Pride Park | Derby | DE24 8HZ | </w:t>
    </w:r>
    <w:r>
      <w:rPr>
        <w:rFonts w:cs="Arial"/>
        <w:color w:val="8E908F"/>
      </w:rPr>
      <w:t>0845 123 2222</w:t>
    </w:r>
    <w:r w:rsidRPr="008E3675">
      <w:rPr>
        <w:rFonts w:cs="Arial"/>
        <w:color w:val="8E908F"/>
      </w:rPr>
      <w:t xml:space="preserve"> | www.node4.co.uk</w:t>
    </w:r>
  </w:p>
  <w:p w14:paraId="2452F1C2" w14:textId="77777777" w:rsidR="00462B63" w:rsidRPr="00067346" w:rsidRDefault="00462B63" w:rsidP="00AF7FCB">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F3F392" w14:textId="77777777" w:rsidR="00D17BB8" w:rsidRDefault="00D17BB8" w:rsidP="00763FA4">
      <w:pPr>
        <w:spacing w:after="0" w:line="240" w:lineRule="auto"/>
      </w:pPr>
      <w:r>
        <w:separator/>
      </w:r>
    </w:p>
  </w:footnote>
  <w:footnote w:type="continuationSeparator" w:id="0">
    <w:p w14:paraId="4F3A2162" w14:textId="77777777" w:rsidR="00D17BB8" w:rsidRDefault="00D17BB8" w:rsidP="00763F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528FCA" w14:textId="29E952AC" w:rsidR="00462B63" w:rsidRPr="00763FA4" w:rsidRDefault="00462B63" w:rsidP="00BC665D">
    <w:pPr>
      <w:pStyle w:val="MainTitle"/>
      <w:tabs>
        <w:tab w:val="left" w:pos="720"/>
        <w:tab w:val="right" w:pos="9917"/>
      </w:tabs>
      <w:ind w:right="-1"/>
      <w:rPr>
        <w:rFonts w:ascii="Trebuchet MS" w:hAnsi="Trebuchet MS"/>
        <w:sz w:val="32"/>
        <w:szCs w:val="32"/>
      </w:rPr>
    </w:pPr>
    <w:r>
      <w:tab/>
    </w:r>
    <w:r>
      <w:rPr>
        <w:noProof/>
        <w:lang w:eastAsia="en-GB"/>
      </w:rPr>
      <w:t xml:space="preserve"> </w:t>
    </w:r>
    <w:r w:rsidR="00BC665D">
      <w:rPr>
        <w:noProof/>
        <w:lang w:eastAsia="en-GB"/>
      </w:rPr>
      <w:tab/>
    </w:r>
    <w:r w:rsidR="00BC665D" w:rsidRPr="00BC665D">
      <w:rPr>
        <w:noProof/>
        <w:lang w:val="en-US"/>
      </w:rPr>
      <w:drawing>
        <wp:inline distT="0" distB="0" distL="0" distR="0" wp14:anchorId="08E68AF5" wp14:editId="54B374B7">
          <wp:extent cx="2134400" cy="558799"/>
          <wp:effectExtent l="0" t="0" r="0" b="0"/>
          <wp:docPr id="3" name="Picture 3" descr="\\euronas\Work\Clients\N\NODE4\2222 - Rebranding - Nov 2017\Design\Artwork\FINAL BRAND ASSETS\Logos\RGB\Logo_gradient-straplin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ronas\Work\Clients\N\NODE4\2222 - Rebranding - Nov 2017\Design\Artwork\FINAL BRAND ASSETS\Logos\RGB\Logo_gradient-strapline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8322" cy="56768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5F1816" w14:textId="7051F5AA" w:rsidR="00462B63" w:rsidRDefault="00462B63">
    <w:pPr>
      <w:pStyle w:val="Header"/>
    </w:pPr>
    <w:r>
      <w:rPr>
        <w:noProof/>
        <w:lang w:val="en-US"/>
      </w:rPr>
      <w:drawing>
        <wp:anchor distT="0" distB="0" distL="114300" distR="114300" simplePos="0" relativeHeight="251671552" behindDoc="1" locked="0" layoutInCell="1" allowOverlap="1" wp14:anchorId="2449BA0A" wp14:editId="51E83E0D">
          <wp:simplePos x="0" y="0"/>
          <wp:positionH relativeFrom="column">
            <wp:posOffset>-859155</wp:posOffset>
          </wp:positionH>
          <wp:positionV relativeFrom="paragraph">
            <wp:posOffset>-525780</wp:posOffset>
          </wp:positionV>
          <wp:extent cx="7912100" cy="1003300"/>
          <wp:effectExtent l="0" t="0" r="0" b="6350"/>
          <wp:wrapNone/>
          <wp:docPr id="37" name="Picture 37" descr="Macintosh HD:Users:DomKD:Desktop:Word-Cover-Header-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DomKD:Desktop:Word-Cover-Header-Imag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2100" cy="1003300"/>
                  </a:xfrm>
                  <a:prstGeom prst="rect">
                    <a:avLst/>
                  </a:prstGeom>
                  <a:solidFill>
                    <a:schemeClr val="tx2"/>
                  </a:soli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H relativeFrom="page">
            <wp14:pctWidth>0</wp14:pctWidth>
          </wp14:sizeRelH>
          <wp14:sizeRelV relativeFrom="page">
            <wp14:pctHeight>0</wp14:pctHeight>
          </wp14:sizeRelV>
        </wp:anchor>
      </w:drawing>
    </w:r>
    <w:r w:rsidRPr="002463BF">
      <w:rPr>
        <w:noProof/>
        <w:lang w:val="en-US"/>
      </w:rPr>
      <w:drawing>
        <wp:anchor distT="0" distB="0" distL="114300" distR="114300" simplePos="0" relativeHeight="251669504" behindDoc="1" locked="0" layoutInCell="1" allowOverlap="1" wp14:anchorId="418420DB" wp14:editId="001B5BF1">
          <wp:simplePos x="0" y="0"/>
          <wp:positionH relativeFrom="column">
            <wp:posOffset>7065645</wp:posOffset>
          </wp:positionH>
          <wp:positionV relativeFrom="paragraph">
            <wp:posOffset>-551815</wp:posOffset>
          </wp:positionV>
          <wp:extent cx="7556500" cy="950595"/>
          <wp:effectExtent l="0" t="0" r="12700" b="0"/>
          <wp:wrapNone/>
          <wp:docPr id="38" name="Picture 38" descr="Macintosh HD:Users:DomKD:Desktop:Word-Header-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DomKD:Desktop:Word-Header-Image.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56500" cy="95059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71DDE"/>
    <w:multiLevelType w:val="hybridMultilevel"/>
    <w:tmpl w:val="EB0014AE"/>
    <w:lvl w:ilvl="0" w:tplc="D2D4B216">
      <w:start w:val="1"/>
      <w:numFmt w:val="bullet"/>
      <w:lvlText w:val=""/>
      <w:lvlJc w:val="left"/>
      <w:pPr>
        <w:ind w:left="720" w:hanging="360"/>
      </w:pPr>
      <w:rPr>
        <w:rFonts w:ascii="Symbol" w:hAnsi="Symbol" w:hint="default"/>
      </w:rPr>
    </w:lvl>
    <w:lvl w:ilvl="1" w:tplc="8C6205E8">
      <w:start w:val="1"/>
      <w:numFmt w:val="bullet"/>
      <w:lvlText w:val="o"/>
      <w:lvlJc w:val="left"/>
      <w:pPr>
        <w:ind w:left="1440" w:hanging="360"/>
      </w:pPr>
      <w:rPr>
        <w:rFonts w:ascii="Courier New" w:hAnsi="Courier New" w:hint="default"/>
      </w:rPr>
    </w:lvl>
    <w:lvl w:ilvl="2" w:tplc="133655EE">
      <w:start w:val="1"/>
      <w:numFmt w:val="bullet"/>
      <w:lvlText w:val=""/>
      <w:lvlJc w:val="left"/>
      <w:pPr>
        <w:ind w:left="2160" w:hanging="360"/>
      </w:pPr>
      <w:rPr>
        <w:rFonts w:ascii="Wingdings" w:hAnsi="Wingdings" w:hint="default"/>
      </w:rPr>
    </w:lvl>
    <w:lvl w:ilvl="3" w:tplc="ECE24E8E">
      <w:start w:val="1"/>
      <w:numFmt w:val="bullet"/>
      <w:lvlText w:val=""/>
      <w:lvlJc w:val="left"/>
      <w:pPr>
        <w:ind w:left="2880" w:hanging="360"/>
      </w:pPr>
      <w:rPr>
        <w:rFonts w:ascii="Symbol" w:hAnsi="Symbol" w:hint="default"/>
      </w:rPr>
    </w:lvl>
    <w:lvl w:ilvl="4" w:tplc="04F2349A">
      <w:start w:val="1"/>
      <w:numFmt w:val="bullet"/>
      <w:lvlText w:val="o"/>
      <w:lvlJc w:val="left"/>
      <w:pPr>
        <w:ind w:left="3600" w:hanging="360"/>
      </w:pPr>
      <w:rPr>
        <w:rFonts w:ascii="Courier New" w:hAnsi="Courier New" w:hint="default"/>
      </w:rPr>
    </w:lvl>
    <w:lvl w:ilvl="5" w:tplc="71228A52">
      <w:start w:val="1"/>
      <w:numFmt w:val="bullet"/>
      <w:lvlText w:val=""/>
      <w:lvlJc w:val="left"/>
      <w:pPr>
        <w:ind w:left="4320" w:hanging="360"/>
      </w:pPr>
      <w:rPr>
        <w:rFonts w:ascii="Wingdings" w:hAnsi="Wingdings" w:hint="default"/>
      </w:rPr>
    </w:lvl>
    <w:lvl w:ilvl="6" w:tplc="1700DC78">
      <w:start w:val="1"/>
      <w:numFmt w:val="bullet"/>
      <w:lvlText w:val=""/>
      <w:lvlJc w:val="left"/>
      <w:pPr>
        <w:ind w:left="5040" w:hanging="360"/>
      </w:pPr>
      <w:rPr>
        <w:rFonts w:ascii="Symbol" w:hAnsi="Symbol" w:hint="default"/>
      </w:rPr>
    </w:lvl>
    <w:lvl w:ilvl="7" w:tplc="73D07548">
      <w:start w:val="1"/>
      <w:numFmt w:val="bullet"/>
      <w:lvlText w:val="o"/>
      <w:lvlJc w:val="left"/>
      <w:pPr>
        <w:ind w:left="5760" w:hanging="360"/>
      </w:pPr>
      <w:rPr>
        <w:rFonts w:ascii="Courier New" w:hAnsi="Courier New" w:hint="default"/>
      </w:rPr>
    </w:lvl>
    <w:lvl w:ilvl="8" w:tplc="C3E226E2">
      <w:start w:val="1"/>
      <w:numFmt w:val="bullet"/>
      <w:lvlText w:val=""/>
      <w:lvlJc w:val="left"/>
      <w:pPr>
        <w:ind w:left="6480" w:hanging="360"/>
      </w:pPr>
      <w:rPr>
        <w:rFonts w:ascii="Wingdings" w:hAnsi="Wingdings" w:hint="default"/>
      </w:rPr>
    </w:lvl>
  </w:abstractNum>
  <w:abstractNum w:abstractNumId="1" w15:restartNumberingAfterBreak="0">
    <w:nsid w:val="0E4065B9"/>
    <w:multiLevelType w:val="multilevel"/>
    <w:tmpl w:val="A322CC0E"/>
    <w:lvl w:ilvl="0">
      <w:start w:val="1"/>
      <w:numFmt w:val="decimal"/>
      <w:pStyle w:val="Heading2"/>
      <w:lvlText w:val="%1."/>
      <w:lvlJc w:val="left"/>
      <w:pPr>
        <w:ind w:left="720" w:hanging="360"/>
      </w:pPr>
    </w:lvl>
    <w:lvl w:ilvl="1">
      <w:start w:val="1"/>
      <w:numFmt w:val="decimal"/>
      <w:pStyle w:val="Heading3"/>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F137564"/>
    <w:multiLevelType w:val="hybridMultilevel"/>
    <w:tmpl w:val="8174D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D31848"/>
    <w:multiLevelType w:val="hybridMultilevel"/>
    <w:tmpl w:val="82B86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2B1758"/>
    <w:multiLevelType w:val="hybridMultilevel"/>
    <w:tmpl w:val="C2C801BA"/>
    <w:lvl w:ilvl="0" w:tplc="7922702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F6505F"/>
    <w:multiLevelType w:val="hybridMultilevel"/>
    <w:tmpl w:val="464EA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3F01AB"/>
    <w:multiLevelType w:val="hybridMultilevel"/>
    <w:tmpl w:val="54A6B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061919"/>
    <w:multiLevelType w:val="hybridMultilevel"/>
    <w:tmpl w:val="B3763A4C"/>
    <w:lvl w:ilvl="0" w:tplc="BC768696">
      <w:start w:val="2"/>
      <w:numFmt w:val="bullet"/>
      <w:lvlText w:val=""/>
      <w:lvlJc w:val="left"/>
      <w:pPr>
        <w:ind w:left="720" w:hanging="360"/>
      </w:pPr>
      <w:rPr>
        <w:rFonts w:ascii="Wingdings" w:eastAsia="Trebuchet MS"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8A2551"/>
    <w:multiLevelType w:val="hybridMultilevel"/>
    <w:tmpl w:val="AB160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9D1EA5"/>
    <w:multiLevelType w:val="hybridMultilevel"/>
    <w:tmpl w:val="C5748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8A7D3A"/>
    <w:multiLevelType w:val="hybridMultilevel"/>
    <w:tmpl w:val="F64440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92B219F"/>
    <w:multiLevelType w:val="hybridMultilevel"/>
    <w:tmpl w:val="FF701E6E"/>
    <w:lvl w:ilvl="0" w:tplc="491E7056">
      <w:start w:val="1"/>
      <w:numFmt w:val="bullet"/>
      <w:lvlText w:val=""/>
      <w:lvlJc w:val="left"/>
      <w:pPr>
        <w:ind w:left="720" w:hanging="360"/>
      </w:pPr>
      <w:rPr>
        <w:rFonts w:ascii="Symbol" w:hAnsi="Symbol" w:hint="default"/>
        <w:color w:val="C96E07" w:themeColor="accent6"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721F35"/>
    <w:multiLevelType w:val="hybridMultilevel"/>
    <w:tmpl w:val="D236DF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D13935"/>
    <w:multiLevelType w:val="hybridMultilevel"/>
    <w:tmpl w:val="E9864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3529AD"/>
    <w:multiLevelType w:val="hybridMultilevel"/>
    <w:tmpl w:val="FD08E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343FA5"/>
    <w:multiLevelType w:val="hybridMultilevel"/>
    <w:tmpl w:val="97146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252CDE"/>
    <w:multiLevelType w:val="hybridMultilevel"/>
    <w:tmpl w:val="F7EA70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38EE43AB"/>
    <w:multiLevelType w:val="hybridMultilevel"/>
    <w:tmpl w:val="5B1A4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D645DC9"/>
    <w:multiLevelType w:val="hybridMultilevel"/>
    <w:tmpl w:val="A9603276"/>
    <w:lvl w:ilvl="0" w:tplc="C1AA4CB8">
      <w:start w:val="1"/>
      <w:numFmt w:val="bullet"/>
      <w:pStyle w:val="ListParagraph"/>
      <w:lvlText w:val=""/>
      <w:lvlJc w:val="left"/>
      <w:pPr>
        <w:ind w:left="530" w:hanging="53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E274E7"/>
    <w:multiLevelType w:val="hybridMultilevel"/>
    <w:tmpl w:val="1C320F56"/>
    <w:lvl w:ilvl="0" w:tplc="EAB6D03E">
      <w:start w:val="1"/>
      <w:numFmt w:val="decimal"/>
      <w:lvlText w:val="%1.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7F7554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82B3FEF"/>
    <w:multiLevelType w:val="hybridMultilevel"/>
    <w:tmpl w:val="D2D27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A3298A"/>
    <w:multiLevelType w:val="hybridMultilevel"/>
    <w:tmpl w:val="848A1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E187991"/>
    <w:multiLevelType w:val="hybridMultilevel"/>
    <w:tmpl w:val="E48EB9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2C561D0"/>
    <w:multiLevelType w:val="hybridMultilevel"/>
    <w:tmpl w:val="63B8DE42"/>
    <w:lvl w:ilvl="0" w:tplc="0C986EC8">
      <w:numFmt w:val="bullet"/>
      <w:lvlText w:val=""/>
      <w:lvlJc w:val="left"/>
      <w:pPr>
        <w:ind w:left="947" w:hanging="360"/>
      </w:pPr>
      <w:rPr>
        <w:rFonts w:ascii="Symbol" w:eastAsia="Symbol" w:hAnsi="Symbol" w:cs="Symbol" w:hint="default"/>
        <w:color w:val="181818"/>
        <w:w w:val="99"/>
        <w:sz w:val="20"/>
        <w:szCs w:val="20"/>
        <w:lang w:val="en-GB" w:eastAsia="en-GB" w:bidi="en-GB"/>
      </w:rPr>
    </w:lvl>
    <w:lvl w:ilvl="1" w:tplc="5350BA8C">
      <w:numFmt w:val="bullet"/>
      <w:lvlText w:val="•"/>
      <w:lvlJc w:val="left"/>
      <w:pPr>
        <w:ind w:left="1524" w:hanging="360"/>
      </w:pPr>
      <w:rPr>
        <w:rFonts w:hint="default"/>
        <w:lang w:val="en-GB" w:eastAsia="en-GB" w:bidi="en-GB"/>
      </w:rPr>
    </w:lvl>
    <w:lvl w:ilvl="2" w:tplc="0536334C">
      <w:numFmt w:val="bullet"/>
      <w:lvlText w:val="•"/>
      <w:lvlJc w:val="left"/>
      <w:pPr>
        <w:ind w:left="2108" w:hanging="360"/>
      </w:pPr>
      <w:rPr>
        <w:rFonts w:hint="default"/>
        <w:lang w:val="en-GB" w:eastAsia="en-GB" w:bidi="en-GB"/>
      </w:rPr>
    </w:lvl>
    <w:lvl w:ilvl="3" w:tplc="73EA587A">
      <w:numFmt w:val="bullet"/>
      <w:lvlText w:val="•"/>
      <w:lvlJc w:val="left"/>
      <w:pPr>
        <w:ind w:left="2692" w:hanging="360"/>
      </w:pPr>
      <w:rPr>
        <w:rFonts w:hint="default"/>
        <w:lang w:val="en-GB" w:eastAsia="en-GB" w:bidi="en-GB"/>
      </w:rPr>
    </w:lvl>
    <w:lvl w:ilvl="4" w:tplc="DA8008B0">
      <w:numFmt w:val="bullet"/>
      <w:lvlText w:val="•"/>
      <w:lvlJc w:val="left"/>
      <w:pPr>
        <w:ind w:left="3276" w:hanging="360"/>
      </w:pPr>
      <w:rPr>
        <w:rFonts w:hint="default"/>
        <w:lang w:val="en-GB" w:eastAsia="en-GB" w:bidi="en-GB"/>
      </w:rPr>
    </w:lvl>
    <w:lvl w:ilvl="5" w:tplc="81984976">
      <w:numFmt w:val="bullet"/>
      <w:lvlText w:val="•"/>
      <w:lvlJc w:val="left"/>
      <w:pPr>
        <w:ind w:left="3860" w:hanging="360"/>
      </w:pPr>
      <w:rPr>
        <w:rFonts w:hint="default"/>
        <w:lang w:val="en-GB" w:eastAsia="en-GB" w:bidi="en-GB"/>
      </w:rPr>
    </w:lvl>
    <w:lvl w:ilvl="6" w:tplc="CC86DAB8">
      <w:numFmt w:val="bullet"/>
      <w:lvlText w:val="•"/>
      <w:lvlJc w:val="left"/>
      <w:pPr>
        <w:ind w:left="4444" w:hanging="360"/>
      </w:pPr>
      <w:rPr>
        <w:rFonts w:hint="default"/>
        <w:lang w:val="en-GB" w:eastAsia="en-GB" w:bidi="en-GB"/>
      </w:rPr>
    </w:lvl>
    <w:lvl w:ilvl="7" w:tplc="86DC07BE">
      <w:numFmt w:val="bullet"/>
      <w:lvlText w:val="•"/>
      <w:lvlJc w:val="left"/>
      <w:pPr>
        <w:ind w:left="5028" w:hanging="360"/>
      </w:pPr>
      <w:rPr>
        <w:rFonts w:hint="default"/>
        <w:lang w:val="en-GB" w:eastAsia="en-GB" w:bidi="en-GB"/>
      </w:rPr>
    </w:lvl>
    <w:lvl w:ilvl="8" w:tplc="75EC690E">
      <w:numFmt w:val="bullet"/>
      <w:lvlText w:val="•"/>
      <w:lvlJc w:val="left"/>
      <w:pPr>
        <w:ind w:left="5612" w:hanging="360"/>
      </w:pPr>
      <w:rPr>
        <w:rFonts w:hint="default"/>
        <w:lang w:val="en-GB" w:eastAsia="en-GB" w:bidi="en-GB"/>
      </w:rPr>
    </w:lvl>
  </w:abstractNum>
  <w:abstractNum w:abstractNumId="25" w15:restartNumberingAfterBreak="0">
    <w:nsid w:val="63556CC4"/>
    <w:multiLevelType w:val="hybridMultilevel"/>
    <w:tmpl w:val="F794850E"/>
    <w:lvl w:ilvl="0" w:tplc="13087734">
      <w:numFmt w:val="bullet"/>
      <w:lvlText w:val=""/>
      <w:lvlJc w:val="left"/>
      <w:pPr>
        <w:ind w:left="947" w:hanging="360"/>
      </w:pPr>
      <w:rPr>
        <w:rFonts w:ascii="Symbol" w:eastAsia="Symbol" w:hAnsi="Symbol" w:cs="Symbol" w:hint="default"/>
        <w:color w:val="181818"/>
        <w:w w:val="99"/>
        <w:sz w:val="20"/>
        <w:szCs w:val="20"/>
        <w:lang w:val="en-GB" w:eastAsia="en-GB" w:bidi="en-GB"/>
      </w:rPr>
    </w:lvl>
    <w:lvl w:ilvl="1" w:tplc="6A04955E">
      <w:numFmt w:val="bullet"/>
      <w:lvlText w:val="•"/>
      <w:lvlJc w:val="left"/>
      <w:pPr>
        <w:ind w:left="1524" w:hanging="360"/>
      </w:pPr>
      <w:rPr>
        <w:rFonts w:hint="default"/>
        <w:lang w:val="en-GB" w:eastAsia="en-GB" w:bidi="en-GB"/>
      </w:rPr>
    </w:lvl>
    <w:lvl w:ilvl="2" w:tplc="B9E0791E">
      <w:numFmt w:val="bullet"/>
      <w:lvlText w:val="•"/>
      <w:lvlJc w:val="left"/>
      <w:pPr>
        <w:ind w:left="2108" w:hanging="360"/>
      </w:pPr>
      <w:rPr>
        <w:rFonts w:hint="default"/>
        <w:lang w:val="en-GB" w:eastAsia="en-GB" w:bidi="en-GB"/>
      </w:rPr>
    </w:lvl>
    <w:lvl w:ilvl="3" w:tplc="E34C5742">
      <w:numFmt w:val="bullet"/>
      <w:lvlText w:val="•"/>
      <w:lvlJc w:val="left"/>
      <w:pPr>
        <w:ind w:left="2692" w:hanging="360"/>
      </w:pPr>
      <w:rPr>
        <w:rFonts w:hint="default"/>
        <w:lang w:val="en-GB" w:eastAsia="en-GB" w:bidi="en-GB"/>
      </w:rPr>
    </w:lvl>
    <w:lvl w:ilvl="4" w:tplc="F474A1D8">
      <w:numFmt w:val="bullet"/>
      <w:lvlText w:val="•"/>
      <w:lvlJc w:val="left"/>
      <w:pPr>
        <w:ind w:left="3276" w:hanging="360"/>
      </w:pPr>
      <w:rPr>
        <w:rFonts w:hint="default"/>
        <w:lang w:val="en-GB" w:eastAsia="en-GB" w:bidi="en-GB"/>
      </w:rPr>
    </w:lvl>
    <w:lvl w:ilvl="5" w:tplc="625E2798">
      <w:numFmt w:val="bullet"/>
      <w:lvlText w:val="•"/>
      <w:lvlJc w:val="left"/>
      <w:pPr>
        <w:ind w:left="3860" w:hanging="360"/>
      </w:pPr>
      <w:rPr>
        <w:rFonts w:hint="default"/>
        <w:lang w:val="en-GB" w:eastAsia="en-GB" w:bidi="en-GB"/>
      </w:rPr>
    </w:lvl>
    <w:lvl w:ilvl="6" w:tplc="46F473F2">
      <w:numFmt w:val="bullet"/>
      <w:lvlText w:val="•"/>
      <w:lvlJc w:val="left"/>
      <w:pPr>
        <w:ind w:left="4444" w:hanging="360"/>
      </w:pPr>
      <w:rPr>
        <w:rFonts w:hint="default"/>
        <w:lang w:val="en-GB" w:eastAsia="en-GB" w:bidi="en-GB"/>
      </w:rPr>
    </w:lvl>
    <w:lvl w:ilvl="7" w:tplc="7F6A779A">
      <w:numFmt w:val="bullet"/>
      <w:lvlText w:val="•"/>
      <w:lvlJc w:val="left"/>
      <w:pPr>
        <w:ind w:left="5028" w:hanging="360"/>
      </w:pPr>
      <w:rPr>
        <w:rFonts w:hint="default"/>
        <w:lang w:val="en-GB" w:eastAsia="en-GB" w:bidi="en-GB"/>
      </w:rPr>
    </w:lvl>
    <w:lvl w:ilvl="8" w:tplc="BDB67564">
      <w:numFmt w:val="bullet"/>
      <w:lvlText w:val="•"/>
      <w:lvlJc w:val="left"/>
      <w:pPr>
        <w:ind w:left="5612" w:hanging="360"/>
      </w:pPr>
      <w:rPr>
        <w:rFonts w:hint="default"/>
        <w:lang w:val="en-GB" w:eastAsia="en-GB" w:bidi="en-GB"/>
      </w:rPr>
    </w:lvl>
  </w:abstractNum>
  <w:abstractNum w:abstractNumId="26" w15:restartNumberingAfterBreak="0">
    <w:nsid w:val="67FB5E3C"/>
    <w:multiLevelType w:val="hybridMultilevel"/>
    <w:tmpl w:val="CF7AFB6E"/>
    <w:lvl w:ilvl="0" w:tplc="EF007BC6">
      <w:start w:val="1"/>
      <w:numFmt w:val="bullet"/>
      <w:lvlText w:val=""/>
      <w:lvlJc w:val="left"/>
      <w:pPr>
        <w:ind w:left="1440" w:hanging="360"/>
      </w:pPr>
      <w:rPr>
        <w:rFonts w:ascii="Symbol" w:hAnsi="Symbol" w:hint="default"/>
        <w:color w:val="F37321"/>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70E5551B"/>
    <w:multiLevelType w:val="hybridMultilevel"/>
    <w:tmpl w:val="506CA2E2"/>
    <w:lvl w:ilvl="0" w:tplc="38B2915C">
      <w:start w:val="1"/>
      <w:numFmt w:val="bullet"/>
      <w:lvlText w:val=""/>
      <w:lvlJc w:val="left"/>
      <w:pPr>
        <w:ind w:left="1004" w:hanging="360"/>
      </w:pPr>
      <w:rPr>
        <w:rFonts w:ascii="Symbol" w:hAnsi="Symbol" w:hint="default"/>
        <w:color w:val="F37321"/>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8" w15:restartNumberingAfterBreak="0">
    <w:nsid w:val="73C64926"/>
    <w:multiLevelType w:val="hybridMultilevel"/>
    <w:tmpl w:val="F5F6A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5A3319F"/>
    <w:multiLevelType w:val="hybridMultilevel"/>
    <w:tmpl w:val="BE8C8472"/>
    <w:lvl w:ilvl="0" w:tplc="491E7056">
      <w:start w:val="1"/>
      <w:numFmt w:val="bullet"/>
      <w:lvlText w:val=""/>
      <w:lvlJc w:val="left"/>
      <w:pPr>
        <w:ind w:left="1440" w:hanging="360"/>
      </w:pPr>
      <w:rPr>
        <w:rFonts w:ascii="Symbol" w:hAnsi="Symbol" w:hint="default"/>
        <w:color w:val="C96E07" w:themeColor="accent6" w:themeShade="BF"/>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778A2942"/>
    <w:multiLevelType w:val="hybridMultilevel"/>
    <w:tmpl w:val="005E7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C825A42"/>
    <w:multiLevelType w:val="hybridMultilevel"/>
    <w:tmpl w:val="BE0A3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E5310B4"/>
    <w:multiLevelType w:val="hybridMultilevel"/>
    <w:tmpl w:val="0C766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27"/>
  </w:num>
  <w:num w:numId="3">
    <w:abstractNumId w:val="27"/>
  </w:num>
  <w:num w:numId="4">
    <w:abstractNumId w:val="18"/>
  </w:num>
  <w:num w:numId="5">
    <w:abstractNumId w:val="29"/>
  </w:num>
  <w:num w:numId="6">
    <w:abstractNumId w:val="13"/>
  </w:num>
  <w:num w:numId="7">
    <w:abstractNumId w:val="22"/>
  </w:num>
  <w:num w:numId="8">
    <w:abstractNumId w:val="2"/>
  </w:num>
  <w:num w:numId="9">
    <w:abstractNumId w:val="32"/>
  </w:num>
  <w:num w:numId="10">
    <w:abstractNumId w:val="20"/>
  </w:num>
  <w:num w:numId="11">
    <w:abstractNumId w:val="10"/>
  </w:num>
  <w:num w:numId="12">
    <w:abstractNumId w:val="16"/>
  </w:num>
  <w:num w:numId="13">
    <w:abstractNumId w:val="23"/>
  </w:num>
  <w:num w:numId="14">
    <w:abstractNumId w:val="9"/>
  </w:num>
  <w:num w:numId="15">
    <w:abstractNumId w:val="11"/>
  </w:num>
  <w:num w:numId="16">
    <w:abstractNumId w:val="3"/>
  </w:num>
  <w:num w:numId="17">
    <w:abstractNumId w:val="5"/>
  </w:num>
  <w:num w:numId="18">
    <w:abstractNumId w:val="31"/>
  </w:num>
  <w:num w:numId="19">
    <w:abstractNumId w:val="4"/>
  </w:num>
  <w:num w:numId="20">
    <w:abstractNumId w:val="12"/>
  </w:num>
  <w:num w:numId="21">
    <w:abstractNumId w:val="6"/>
  </w:num>
  <w:num w:numId="22">
    <w:abstractNumId w:val="17"/>
  </w:num>
  <w:num w:numId="23">
    <w:abstractNumId w:val="15"/>
  </w:num>
  <w:num w:numId="24">
    <w:abstractNumId w:val="30"/>
  </w:num>
  <w:num w:numId="25">
    <w:abstractNumId w:val="28"/>
  </w:num>
  <w:num w:numId="26">
    <w:abstractNumId w:val="8"/>
  </w:num>
  <w:num w:numId="27">
    <w:abstractNumId w:val="0"/>
  </w:num>
  <w:num w:numId="28">
    <w:abstractNumId w:val="21"/>
  </w:num>
  <w:num w:numId="29">
    <w:abstractNumId w:val="1"/>
  </w:num>
  <w:num w:numId="30">
    <w:abstractNumId w:val="19"/>
  </w:num>
  <w:num w:numId="31">
    <w:abstractNumId w:val="14"/>
  </w:num>
  <w:num w:numId="32">
    <w:abstractNumId w:val="24"/>
  </w:num>
  <w:num w:numId="33">
    <w:abstractNumId w:val="25"/>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80A"/>
    <w:rsid w:val="00007683"/>
    <w:rsid w:val="000256ED"/>
    <w:rsid w:val="0003419A"/>
    <w:rsid w:val="00050B20"/>
    <w:rsid w:val="00067346"/>
    <w:rsid w:val="00077330"/>
    <w:rsid w:val="0008650A"/>
    <w:rsid w:val="00093621"/>
    <w:rsid w:val="000A55BE"/>
    <w:rsid w:val="000D7DBE"/>
    <w:rsid w:val="000E35B3"/>
    <w:rsid w:val="000E69BA"/>
    <w:rsid w:val="00100C19"/>
    <w:rsid w:val="0010129F"/>
    <w:rsid w:val="00101615"/>
    <w:rsid w:val="00111FF3"/>
    <w:rsid w:val="00113F12"/>
    <w:rsid w:val="00116865"/>
    <w:rsid w:val="001216E1"/>
    <w:rsid w:val="00132E60"/>
    <w:rsid w:val="001409FA"/>
    <w:rsid w:val="00143442"/>
    <w:rsid w:val="0016150F"/>
    <w:rsid w:val="0017619C"/>
    <w:rsid w:val="001A1BCF"/>
    <w:rsid w:val="001B12F2"/>
    <w:rsid w:val="001B32A7"/>
    <w:rsid w:val="001B5930"/>
    <w:rsid w:val="001B70C6"/>
    <w:rsid w:val="001C66EC"/>
    <w:rsid w:val="001E1CB2"/>
    <w:rsid w:val="001E6E78"/>
    <w:rsid w:val="00207133"/>
    <w:rsid w:val="00214D4F"/>
    <w:rsid w:val="002239E7"/>
    <w:rsid w:val="00240B63"/>
    <w:rsid w:val="00240D1F"/>
    <w:rsid w:val="00245ED4"/>
    <w:rsid w:val="002463BF"/>
    <w:rsid w:val="00263CF5"/>
    <w:rsid w:val="00272227"/>
    <w:rsid w:val="0027312C"/>
    <w:rsid w:val="002769BC"/>
    <w:rsid w:val="00287729"/>
    <w:rsid w:val="002A2301"/>
    <w:rsid w:val="002B1EE2"/>
    <w:rsid w:val="002B28D7"/>
    <w:rsid w:val="002D1893"/>
    <w:rsid w:val="002D35C9"/>
    <w:rsid w:val="002D5240"/>
    <w:rsid w:val="002D6205"/>
    <w:rsid w:val="002E3061"/>
    <w:rsid w:val="002E5F5E"/>
    <w:rsid w:val="002E71FD"/>
    <w:rsid w:val="002F0B7B"/>
    <w:rsid w:val="00301C5E"/>
    <w:rsid w:val="003164B8"/>
    <w:rsid w:val="00325DE8"/>
    <w:rsid w:val="0032708E"/>
    <w:rsid w:val="00341339"/>
    <w:rsid w:val="003424E0"/>
    <w:rsid w:val="0035483D"/>
    <w:rsid w:val="00362187"/>
    <w:rsid w:val="00366030"/>
    <w:rsid w:val="00381C86"/>
    <w:rsid w:val="003976A9"/>
    <w:rsid w:val="003B21D5"/>
    <w:rsid w:val="003B3E43"/>
    <w:rsid w:val="003B77B0"/>
    <w:rsid w:val="003C6392"/>
    <w:rsid w:val="003D0307"/>
    <w:rsid w:val="003D47D2"/>
    <w:rsid w:val="003E5E71"/>
    <w:rsid w:val="00403516"/>
    <w:rsid w:val="00422732"/>
    <w:rsid w:val="00425C9B"/>
    <w:rsid w:val="0045292A"/>
    <w:rsid w:val="0046043E"/>
    <w:rsid w:val="00462B63"/>
    <w:rsid w:val="004705EF"/>
    <w:rsid w:val="00480B5B"/>
    <w:rsid w:val="0048299E"/>
    <w:rsid w:val="004839D0"/>
    <w:rsid w:val="00485800"/>
    <w:rsid w:val="004918E2"/>
    <w:rsid w:val="0049469E"/>
    <w:rsid w:val="004A44E9"/>
    <w:rsid w:val="004A6FB8"/>
    <w:rsid w:val="004A70DC"/>
    <w:rsid w:val="004B0358"/>
    <w:rsid w:val="004B17DE"/>
    <w:rsid w:val="004C2CA9"/>
    <w:rsid w:val="004E06FA"/>
    <w:rsid w:val="004F0CB2"/>
    <w:rsid w:val="004F5462"/>
    <w:rsid w:val="004F6F21"/>
    <w:rsid w:val="0050180A"/>
    <w:rsid w:val="00522760"/>
    <w:rsid w:val="00525B78"/>
    <w:rsid w:val="0053127D"/>
    <w:rsid w:val="0053413D"/>
    <w:rsid w:val="00534CC3"/>
    <w:rsid w:val="00536852"/>
    <w:rsid w:val="0054015F"/>
    <w:rsid w:val="00541405"/>
    <w:rsid w:val="0054255B"/>
    <w:rsid w:val="00554735"/>
    <w:rsid w:val="0056188E"/>
    <w:rsid w:val="00566132"/>
    <w:rsid w:val="0059650F"/>
    <w:rsid w:val="005C186A"/>
    <w:rsid w:val="005C6767"/>
    <w:rsid w:val="005E194C"/>
    <w:rsid w:val="005E4B0D"/>
    <w:rsid w:val="005F2C2E"/>
    <w:rsid w:val="005F5647"/>
    <w:rsid w:val="00600920"/>
    <w:rsid w:val="006134F6"/>
    <w:rsid w:val="00631A45"/>
    <w:rsid w:val="00643F14"/>
    <w:rsid w:val="00644C4C"/>
    <w:rsid w:val="00652EE3"/>
    <w:rsid w:val="00660D7D"/>
    <w:rsid w:val="00662A4E"/>
    <w:rsid w:val="00676B31"/>
    <w:rsid w:val="00687C8B"/>
    <w:rsid w:val="00697287"/>
    <w:rsid w:val="006A1750"/>
    <w:rsid w:val="006A18F8"/>
    <w:rsid w:val="006A4655"/>
    <w:rsid w:val="006B0EEC"/>
    <w:rsid w:val="006C0EA1"/>
    <w:rsid w:val="006C2FB9"/>
    <w:rsid w:val="006D088E"/>
    <w:rsid w:val="006D601C"/>
    <w:rsid w:val="006F0B28"/>
    <w:rsid w:val="006F63EE"/>
    <w:rsid w:val="006F66BB"/>
    <w:rsid w:val="00705142"/>
    <w:rsid w:val="007106CD"/>
    <w:rsid w:val="00733442"/>
    <w:rsid w:val="00742A78"/>
    <w:rsid w:val="007475F9"/>
    <w:rsid w:val="00747761"/>
    <w:rsid w:val="00747BE2"/>
    <w:rsid w:val="00756285"/>
    <w:rsid w:val="00756A2E"/>
    <w:rsid w:val="00763FA4"/>
    <w:rsid w:val="007672D0"/>
    <w:rsid w:val="00773A92"/>
    <w:rsid w:val="00793E95"/>
    <w:rsid w:val="00794A9C"/>
    <w:rsid w:val="00797E34"/>
    <w:rsid w:val="007A5901"/>
    <w:rsid w:val="007A6293"/>
    <w:rsid w:val="007B7467"/>
    <w:rsid w:val="007C7A85"/>
    <w:rsid w:val="007D5A22"/>
    <w:rsid w:val="007D7C28"/>
    <w:rsid w:val="007E2E1C"/>
    <w:rsid w:val="007E4014"/>
    <w:rsid w:val="007F4166"/>
    <w:rsid w:val="007F494D"/>
    <w:rsid w:val="007F7A91"/>
    <w:rsid w:val="008119B0"/>
    <w:rsid w:val="008363C3"/>
    <w:rsid w:val="008364C6"/>
    <w:rsid w:val="00836FAB"/>
    <w:rsid w:val="00840537"/>
    <w:rsid w:val="00845F55"/>
    <w:rsid w:val="0085185B"/>
    <w:rsid w:val="0085701A"/>
    <w:rsid w:val="0087272A"/>
    <w:rsid w:val="00896AEC"/>
    <w:rsid w:val="008A359A"/>
    <w:rsid w:val="008B1FDF"/>
    <w:rsid w:val="008C162F"/>
    <w:rsid w:val="008D0D48"/>
    <w:rsid w:val="008D4DDA"/>
    <w:rsid w:val="008E3675"/>
    <w:rsid w:val="008F080E"/>
    <w:rsid w:val="008F2C66"/>
    <w:rsid w:val="009034D6"/>
    <w:rsid w:val="00903C3A"/>
    <w:rsid w:val="00913FA7"/>
    <w:rsid w:val="0092735B"/>
    <w:rsid w:val="009311A4"/>
    <w:rsid w:val="009376E4"/>
    <w:rsid w:val="00941506"/>
    <w:rsid w:val="00951C5F"/>
    <w:rsid w:val="0096519F"/>
    <w:rsid w:val="009708D0"/>
    <w:rsid w:val="00973173"/>
    <w:rsid w:val="00974F62"/>
    <w:rsid w:val="00975161"/>
    <w:rsid w:val="00982CDC"/>
    <w:rsid w:val="00990562"/>
    <w:rsid w:val="00992697"/>
    <w:rsid w:val="00997D26"/>
    <w:rsid w:val="009A2B6C"/>
    <w:rsid w:val="009B2632"/>
    <w:rsid w:val="009D3803"/>
    <w:rsid w:val="009D381F"/>
    <w:rsid w:val="009E0518"/>
    <w:rsid w:val="009F1480"/>
    <w:rsid w:val="009F38D2"/>
    <w:rsid w:val="009F424A"/>
    <w:rsid w:val="009F6B0B"/>
    <w:rsid w:val="00A01207"/>
    <w:rsid w:val="00A04071"/>
    <w:rsid w:val="00A04492"/>
    <w:rsid w:val="00A063C6"/>
    <w:rsid w:val="00A3376E"/>
    <w:rsid w:val="00A63240"/>
    <w:rsid w:val="00A7112C"/>
    <w:rsid w:val="00A74166"/>
    <w:rsid w:val="00A92937"/>
    <w:rsid w:val="00A97CDC"/>
    <w:rsid w:val="00AB49E0"/>
    <w:rsid w:val="00AC048B"/>
    <w:rsid w:val="00AC1C7B"/>
    <w:rsid w:val="00AD3EAD"/>
    <w:rsid w:val="00AF7FCB"/>
    <w:rsid w:val="00B0371D"/>
    <w:rsid w:val="00B314EF"/>
    <w:rsid w:val="00B36391"/>
    <w:rsid w:val="00B42790"/>
    <w:rsid w:val="00B60575"/>
    <w:rsid w:val="00B71EBF"/>
    <w:rsid w:val="00B740D1"/>
    <w:rsid w:val="00B7653F"/>
    <w:rsid w:val="00B81D63"/>
    <w:rsid w:val="00B91F25"/>
    <w:rsid w:val="00BB249A"/>
    <w:rsid w:val="00BB4727"/>
    <w:rsid w:val="00BB5A9C"/>
    <w:rsid w:val="00BB74B2"/>
    <w:rsid w:val="00BC665D"/>
    <w:rsid w:val="00BD4FA9"/>
    <w:rsid w:val="00BE3686"/>
    <w:rsid w:val="00BE78C4"/>
    <w:rsid w:val="00BF5640"/>
    <w:rsid w:val="00BF72B0"/>
    <w:rsid w:val="00C0107A"/>
    <w:rsid w:val="00C022C8"/>
    <w:rsid w:val="00C04256"/>
    <w:rsid w:val="00C21646"/>
    <w:rsid w:val="00C2544F"/>
    <w:rsid w:val="00C26C1B"/>
    <w:rsid w:val="00C40D9C"/>
    <w:rsid w:val="00C514BD"/>
    <w:rsid w:val="00C57B83"/>
    <w:rsid w:val="00C91E67"/>
    <w:rsid w:val="00C97C97"/>
    <w:rsid w:val="00CA644F"/>
    <w:rsid w:val="00CB5D30"/>
    <w:rsid w:val="00CB7C54"/>
    <w:rsid w:val="00CC645D"/>
    <w:rsid w:val="00CD0668"/>
    <w:rsid w:val="00CD3CAB"/>
    <w:rsid w:val="00CF4390"/>
    <w:rsid w:val="00D03054"/>
    <w:rsid w:val="00D15A65"/>
    <w:rsid w:val="00D17BB8"/>
    <w:rsid w:val="00D25D04"/>
    <w:rsid w:val="00D30F7E"/>
    <w:rsid w:val="00D31E6E"/>
    <w:rsid w:val="00D31FEE"/>
    <w:rsid w:val="00D342B8"/>
    <w:rsid w:val="00D35A92"/>
    <w:rsid w:val="00D439D0"/>
    <w:rsid w:val="00D44323"/>
    <w:rsid w:val="00D81270"/>
    <w:rsid w:val="00D9612B"/>
    <w:rsid w:val="00DA7011"/>
    <w:rsid w:val="00DA7250"/>
    <w:rsid w:val="00DA76FC"/>
    <w:rsid w:val="00DB253A"/>
    <w:rsid w:val="00DB2C59"/>
    <w:rsid w:val="00DB4092"/>
    <w:rsid w:val="00DD320F"/>
    <w:rsid w:val="00DD4B53"/>
    <w:rsid w:val="00DD4DB7"/>
    <w:rsid w:val="00E26340"/>
    <w:rsid w:val="00E62938"/>
    <w:rsid w:val="00E62BEA"/>
    <w:rsid w:val="00E7069F"/>
    <w:rsid w:val="00EA194C"/>
    <w:rsid w:val="00EA2115"/>
    <w:rsid w:val="00EC6445"/>
    <w:rsid w:val="00EC7CD6"/>
    <w:rsid w:val="00ED59A4"/>
    <w:rsid w:val="00EE769D"/>
    <w:rsid w:val="00F00C3F"/>
    <w:rsid w:val="00F10EC0"/>
    <w:rsid w:val="00F11A6A"/>
    <w:rsid w:val="00F25CF7"/>
    <w:rsid w:val="00F357C5"/>
    <w:rsid w:val="00F4051C"/>
    <w:rsid w:val="00F42B38"/>
    <w:rsid w:val="00F506EC"/>
    <w:rsid w:val="00F55939"/>
    <w:rsid w:val="00F74E79"/>
    <w:rsid w:val="00F847D4"/>
    <w:rsid w:val="00F9302D"/>
    <w:rsid w:val="00FB7D59"/>
    <w:rsid w:val="00FC3491"/>
    <w:rsid w:val="00FC495A"/>
    <w:rsid w:val="00FD01F1"/>
    <w:rsid w:val="00FD5F6E"/>
    <w:rsid w:val="00FD7E76"/>
    <w:rsid w:val="00FF5E5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850C613"/>
  <w15:docId w15:val="{34423EEB-B4E5-4D97-9B22-8C53E72E2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rebuchet MS" w:eastAsia="Trebuchet MS" w:hAnsi="Trebuchet MS"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Copy"/>
    <w:qFormat/>
    <w:rsid w:val="00A01207"/>
    <w:pPr>
      <w:spacing w:after="200" w:line="276" w:lineRule="auto"/>
      <w:jc w:val="both"/>
    </w:pPr>
    <w:rPr>
      <w:rFonts w:ascii="Arial" w:hAnsi="Arial"/>
      <w:color w:val="1E1E1E"/>
    </w:rPr>
  </w:style>
  <w:style w:type="paragraph" w:styleId="Heading1">
    <w:name w:val="heading 1"/>
    <w:aliases w:val="Heading"/>
    <w:basedOn w:val="Normal"/>
    <w:next w:val="Normal"/>
    <w:link w:val="Heading1Char"/>
    <w:autoRedefine/>
    <w:uiPriority w:val="9"/>
    <w:qFormat/>
    <w:rsid w:val="00536852"/>
    <w:pPr>
      <w:keepNext/>
      <w:keepLines/>
      <w:spacing w:after="0"/>
      <w:outlineLvl w:val="0"/>
    </w:pPr>
    <w:rPr>
      <w:rFonts w:eastAsia="MS Mincho"/>
      <w:color w:val="323232" w:themeColor="text1"/>
      <w:sz w:val="36"/>
      <w:szCs w:val="36"/>
    </w:rPr>
  </w:style>
  <w:style w:type="paragraph" w:styleId="Heading2">
    <w:name w:val="heading 2"/>
    <w:aliases w:val="Sub Heading"/>
    <w:basedOn w:val="Normal"/>
    <w:next w:val="Normal"/>
    <w:link w:val="Heading2Char"/>
    <w:uiPriority w:val="9"/>
    <w:unhideWhenUsed/>
    <w:qFormat/>
    <w:rsid w:val="007E2E1C"/>
    <w:pPr>
      <w:keepNext/>
      <w:keepLines/>
      <w:numPr>
        <w:numId w:val="29"/>
      </w:numPr>
      <w:ind w:left="357" w:hanging="357"/>
      <w:outlineLvl w:val="1"/>
    </w:pPr>
    <w:rPr>
      <w:rFonts w:eastAsia="MS Mincho"/>
      <w:b/>
      <w:color w:val="F79220" w:themeColor="accent1"/>
      <w:sz w:val="28"/>
      <w:szCs w:val="32"/>
    </w:rPr>
  </w:style>
  <w:style w:type="paragraph" w:styleId="Heading3">
    <w:name w:val="heading 3"/>
    <w:basedOn w:val="Normal"/>
    <w:next w:val="Normal"/>
    <w:link w:val="Heading3Char"/>
    <w:autoRedefine/>
    <w:uiPriority w:val="9"/>
    <w:unhideWhenUsed/>
    <w:qFormat/>
    <w:rsid w:val="00BD4FA9"/>
    <w:pPr>
      <w:keepNext/>
      <w:keepLines/>
      <w:numPr>
        <w:ilvl w:val="1"/>
        <w:numId w:val="29"/>
      </w:numPr>
      <w:spacing w:before="200" w:after="0"/>
      <w:ind w:left="357" w:hanging="357"/>
      <w:jc w:val="left"/>
      <w:outlineLvl w:val="2"/>
    </w:pPr>
    <w:rPr>
      <w:rFonts w:eastAsia="MS Mincho" w:cs="Arial"/>
      <w:b/>
      <w:color w:val="F79220" w:themeColor="accent1"/>
      <w:szCs w:val="24"/>
    </w:rPr>
  </w:style>
  <w:style w:type="paragraph" w:styleId="Heading4">
    <w:name w:val="heading 4"/>
    <w:basedOn w:val="Normal"/>
    <w:next w:val="Normal"/>
    <w:link w:val="Heading4Char"/>
    <w:uiPriority w:val="9"/>
    <w:unhideWhenUsed/>
    <w:qFormat/>
    <w:rsid w:val="0087272A"/>
    <w:pPr>
      <w:keepNext/>
      <w:keepLines/>
      <w:spacing w:before="200" w:after="0"/>
      <w:outlineLvl w:val="3"/>
    </w:pPr>
    <w:rPr>
      <w:rFonts w:eastAsia="MS Mincho"/>
      <w:color w:val="323232" w:themeColor="text1"/>
      <w:sz w:val="22"/>
      <w:szCs w:val="22"/>
    </w:rPr>
  </w:style>
  <w:style w:type="paragraph" w:styleId="Heading5">
    <w:name w:val="heading 5"/>
    <w:aliases w:val="CTA Heading"/>
    <w:basedOn w:val="Normal"/>
    <w:next w:val="Normal"/>
    <w:link w:val="Heading5Char"/>
    <w:uiPriority w:val="9"/>
    <w:unhideWhenUsed/>
    <w:qFormat/>
    <w:rsid w:val="0087272A"/>
    <w:pPr>
      <w:keepNext/>
      <w:keepLines/>
      <w:spacing w:before="200" w:after="0"/>
      <w:outlineLvl w:val="4"/>
    </w:pPr>
    <w:rPr>
      <w:rFonts w:eastAsia="MS Mincho"/>
      <w:color w:val="E83460" w:themeColor="accent2"/>
      <w:sz w:val="22"/>
      <w:szCs w:val="22"/>
    </w:rPr>
  </w:style>
  <w:style w:type="paragraph" w:styleId="Heading6">
    <w:name w:val="heading 6"/>
    <w:aliases w:val="INFO Heading"/>
    <w:basedOn w:val="Normal"/>
    <w:next w:val="Normal"/>
    <w:link w:val="Heading6Char"/>
    <w:uiPriority w:val="9"/>
    <w:unhideWhenUsed/>
    <w:qFormat/>
    <w:rsid w:val="0087272A"/>
    <w:pPr>
      <w:keepNext/>
      <w:keepLines/>
      <w:spacing w:before="200" w:after="0"/>
      <w:outlineLvl w:val="5"/>
    </w:pPr>
    <w:rPr>
      <w:rFonts w:eastAsia="MS Mincho"/>
      <w:color w:val="0288D1" w:themeColor="accent4"/>
      <w:sz w:val="22"/>
      <w:szCs w:val="22"/>
    </w:rPr>
  </w:style>
  <w:style w:type="paragraph" w:styleId="Heading7">
    <w:name w:val="heading 7"/>
    <w:aliases w:val="Heading Emphasis"/>
    <w:basedOn w:val="Normal"/>
    <w:next w:val="Normal"/>
    <w:link w:val="Heading7Char"/>
    <w:uiPriority w:val="9"/>
    <w:unhideWhenUsed/>
    <w:rsid w:val="00B36391"/>
    <w:pPr>
      <w:keepNext/>
      <w:keepLines/>
      <w:spacing w:before="200" w:after="0"/>
      <w:outlineLvl w:val="6"/>
    </w:pPr>
    <w:rPr>
      <w:rFonts w:eastAsia="MS Mincho"/>
      <w:i/>
      <w:iCs/>
      <w:color w:val="8E908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Char"/>
    <w:link w:val="Heading1"/>
    <w:uiPriority w:val="9"/>
    <w:rsid w:val="00536852"/>
    <w:rPr>
      <w:rFonts w:ascii="Arial" w:eastAsia="MS Mincho" w:hAnsi="Arial"/>
      <w:color w:val="323232" w:themeColor="text1"/>
      <w:sz w:val="36"/>
      <w:szCs w:val="36"/>
    </w:rPr>
  </w:style>
  <w:style w:type="character" w:customStyle="1" w:styleId="Heading2Char">
    <w:name w:val="Heading 2 Char"/>
    <w:aliases w:val="Sub Heading Char"/>
    <w:link w:val="Heading2"/>
    <w:uiPriority w:val="9"/>
    <w:rsid w:val="007E2E1C"/>
    <w:rPr>
      <w:rFonts w:ascii="Arial" w:eastAsia="MS Mincho" w:hAnsi="Arial"/>
      <w:b/>
      <w:color w:val="F79220" w:themeColor="accent1"/>
      <w:sz w:val="28"/>
      <w:szCs w:val="32"/>
    </w:rPr>
  </w:style>
  <w:style w:type="character" w:customStyle="1" w:styleId="Heading3Char">
    <w:name w:val="Heading 3 Char"/>
    <w:link w:val="Heading3"/>
    <w:uiPriority w:val="9"/>
    <w:rsid w:val="00BD4FA9"/>
    <w:rPr>
      <w:rFonts w:ascii="Arial" w:eastAsia="MS Mincho" w:hAnsi="Arial" w:cs="Arial"/>
      <w:b/>
      <w:color w:val="F79220" w:themeColor="accent1"/>
      <w:szCs w:val="24"/>
    </w:rPr>
  </w:style>
  <w:style w:type="character" w:customStyle="1" w:styleId="Heading4Char">
    <w:name w:val="Heading 4 Char"/>
    <w:link w:val="Heading4"/>
    <w:uiPriority w:val="9"/>
    <w:rsid w:val="0087272A"/>
    <w:rPr>
      <w:rFonts w:ascii="Arial" w:eastAsia="MS Mincho" w:hAnsi="Arial"/>
      <w:color w:val="323232" w:themeColor="text1"/>
      <w:sz w:val="22"/>
      <w:szCs w:val="22"/>
    </w:rPr>
  </w:style>
  <w:style w:type="character" w:customStyle="1" w:styleId="Heading5Char">
    <w:name w:val="Heading 5 Char"/>
    <w:aliases w:val="CTA Heading Char"/>
    <w:link w:val="Heading5"/>
    <w:uiPriority w:val="9"/>
    <w:rsid w:val="0087272A"/>
    <w:rPr>
      <w:rFonts w:ascii="Arial" w:eastAsia="MS Mincho" w:hAnsi="Arial"/>
      <w:color w:val="E83460" w:themeColor="accent2"/>
      <w:sz w:val="22"/>
      <w:szCs w:val="22"/>
    </w:rPr>
  </w:style>
  <w:style w:type="character" w:customStyle="1" w:styleId="Heading6Char">
    <w:name w:val="Heading 6 Char"/>
    <w:aliases w:val="INFO Heading Char"/>
    <w:link w:val="Heading6"/>
    <w:uiPriority w:val="9"/>
    <w:rsid w:val="0087272A"/>
    <w:rPr>
      <w:rFonts w:ascii="Arial" w:eastAsia="MS Mincho" w:hAnsi="Arial"/>
      <w:color w:val="0288D1" w:themeColor="accent4"/>
      <w:sz w:val="22"/>
      <w:szCs w:val="22"/>
    </w:rPr>
  </w:style>
  <w:style w:type="character" w:customStyle="1" w:styleId="Heading7Char">
    <w:name w:val="Heading 7 Char"/>
    <w:aliases w:val="Heading Emphasis Char"/>
    <w:link w:val="Heading7"/>
    <w:uiPriority w:val="9"/>
    <w:rsid w:val="00B36391"/>
    <w:rPr>
      <w:rFonts w:ascii="Arial" w:eastAsia="MS Mincho" w:hAnsi="Arial" w:cs="Times New Roman"/>
      <w:i/>
      <w:iCs/>
      <w:color w:val="8E908F"/>
      <w:sz w:val="20"/>
    </w:rPr>
  </w:style>
  <w:style w:type="paragraph" w:styleId="Header">
    <w:name w:val="header"/>
    <w:basedOn w:val="Normal"/>
    <w:link w:val="HeaderChar"/>
    <w:uiPriority w:val="99"/>
    <w:unhideWhenUsed/>
    <w:rsid w:val="0016150F"/>
    <w:pPr>
      <w:tabs>
        <w:tab w:val="center" w:pos="4513"/>
        <w:tab w:val="left" w:pos="6663"/>
        <w:tab w:val="right" w:pos="9072"/>
      </w:tabs>
      <w:spacing w:after="0"/>
      <w:jc w:val="right"/>
    </w:pPr>
    <w:rPr>
      <w:color w:val="C4520A"/>
      <w:sz w:val="52"/>
      <w:szCs w:val="52"/>
    </w:rPr>
  </w:style>
  <w:style w:type="character" w:customStyle="1" w:styleId="HeaderChar">
    <w:name w:val="Header Char"/>
    <w:link w:val="Header"/>
    <w:uiPriority w:val="99"/>
    <w:rsid w:val="0016150F"/>
    <w:rPr>
      <w:color w:val="C4520A"/>
      <w:sz w:val="52"/>
      <w:szCs w:val="52"/>
    </w:rPr>
  </w:style>
  <w:style w:type="paragraph" w:styleId="Footer">
    <w:name w:val="footer"/>
    <w:basedOn w:val="Normal"/>
    <w:link w:val="FooterChar"/>
    <w:uiPriority w:val="99"/>
    <w:unhideWhenUsed/>
    <w:rsid w:val="00763F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3FA4"/>
  </w:style>
  <w:style w:type="paragraph" w:styleId="BalloonText">
    <w:name w:val="Balloon Text"/>
    <w:basedOn w:val="Normal"/>
    <w:link w:val="BalloonTextChar"/>
    <w:uiPriority w:val="99"/>
    <w:semiHidden/>
    <w:unhideWhenUsed/>
    <w:rsid w:val="00763FA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63FA4"/>
    <w:rPr>
      <w:rFonts w:ascii="Tahoma" w:hAnsi="Tahoma" w:cs="Tahoma"/>
      <w:sz w:val="16"/>
      <w:szCs w:val="16"/>
    </w:rPr>
  </w:style>
  <w:style w:type="character" w:styleId="PlaceholderText">
    <w:name w:val="Placeholder Text"/>
    <w:uiPriority w:val="99"/>
    <w:semiHidden/>
    <w:rsid w:val="00763FA4"/>
    <w:rPr>
      <w:color w:val="808080"/>
    </w:rPr>
  </w:style>
  <w:style w:type="paragraph" w:styleId="Title">
    <w:name w:val="Title"/>
    <w:aliases w:val="Main Sub Title"/>
    <w:basedOn w:val="Normal"/>
    <w:next w:val="Normal"/>
    <w:link w:val="TitleChar"/>
    <w:autoRedefine/>
    <w:uiPriority w:val="10"/>
    <w:qFormat/>
    <w:rsid w:val="00AC048B"/>
    <w:pPr>
      <w:ind w:right="496"/>
      <w:jc w:val="right"/>
    </w:pPr>
    <w:rPr>
      <w:rFonts w:eastAsia="MS Mincho"/>
      <w:color w:val="F79220" w:themeColor="accent1"/>
      <w:spacing w:val="10"/>
      <w:kern w:val="28"/>
      <w:sz w:val="28"/>
      <w:szCs w:val="28"/>
      <w:lang w:val="en-US" w:bidi="en-US"/>
    </w:rPr>
  </w:style>
  <w:style w:type="character" w:customStyle="1" w:styleId="TitleChar">
    <w:name w:val="Title Char"/>
    <w:aliases w:val="Main Sub Title Char"/>
    <w:link w:val="Title"/>
    <w:uiPriority w:val="10"/>
    <w:rsid w:val="00AC048B"/>
    <w:rPr>
      <w:rFonts w:ascii="Arial" w:eastAsia="MS Mincho" w:hAnsi="Arial"/>
      <w:color w:val="F79220" w:themeColor="accent1"/>
      <w:spacing w:val="10"/>
      <w:kern w:val="28"/>
      <w:sz w:val="28"/>
      <w:szCs w:val="28"/>
      <w:lang w:val="en-US" w:bidi="en-US"/>
    </w:rPr>
  </w:style>
  <w:style w:type="paragraph" w:customStyle="1" w:styleId="N4header">
    <w:name w:val="N4_header"/>
    <w:basedOn w:val="Header"/>
    <w:link w:val="N4headerChar"/>
    <w:rsid w:val="00974F62"/>
    <w:rPr>
      <w:rFonts w:ascii="Trebuchet MS" w:hAnsi="Trebuchet MS"/>
      <w:b/>
      <w:color w:val="FFFFFF"/>
      <w:sz w:val="32"/>
    </w:rPr>
  </w:style>
  <w:style w:type="character" w:customStyle="1" w:styleId="N4headerChar">
    <w:name w:val="N4_header Char"/>
    <w:link w:val="N4header"/>
    <w:rsid w:val="00974F62"/>
    <w:rPr>
      <w:rFonts w:ascii="Trebuchet MS" w:hAnsi="Trebuchet MS"/>
      <w:b/>
      <w:color w:val="FFFFFF"/>
      <w:sz w:val="32"/>
      <w:szCs w:val="52"/>
    </w:rPr>
  </w:style>
  <w:style w:type="paragraph" w:customStyle="1" w:styleId="Style1">
    <w:name w:val="Style1"/>
    <w:basedOn w:val="Header"/>
    <w:link w:val="Style1Char"/>
    <w:autoRedefine/>
    <w:rsid w:val="00660D7D"/>
    <w:rPr>
      <w:rFonts w:ascii="Trebuchet MS" w:hAnsi="Trebuchet MS"/>
      <w:color w:val="FFFFFF"/>
      <w:sz w:val="28"/>
    </w:rPr>
  </w:style>
  <w:style w:type="character" w:customStyle="1" w:styleId="Style1Char">
    <w:name w:val="Style1 Char"/>
    <w:link w:val="Style1"/>
    <w:rsid w:val="00660D7D"/>
    <w:rPr>
      <w:rFonts w:ascii="Trebuchet MS" w:hAnsi="Trebuchet MS"/>
      <w:color w:val="FFFFFF"/>
      <w:sz w:val="28"/>
      <w:szCs w:val="52"/>
    </w:rPr>
  </w:style>
  <w:style w:type="paragraph" w:customStyle="1" w:styleId="N4Title">
    <w:name w:val="N4Title"/>
    <w:basedOn w:val="Header"/>
    <w:link w:val="N4TitleChar"/>
    <w:rsid w:val="00B36391"/>
    <w:rPr>
      <w:caps/>
      <w:color w:val="1E1E1E"/>
      <w:sz w:val="36"/>
      <w:szCs w:val="36"/>
    </w:rPr>
  </w:style>
  <w:style w:type="character" w:customStyle="1" w:styleId="N4TitleChar">
    <w:name w:val="N4Title Char"/>
    <w:link w:val="N4Title"/>
    <w:rsid w:val="00B36391"/>
    <w:rPr>
      <w:rFonts w:ascii="Arial" w:hAnsi="Arial"/>
      <w:caps/>
      <w:color w:val="1E1E1E"/>
      <w:sz w:val="36"/>
      <w:szCs w:val="36"/>
    </w:rPr>
  </w:style>
  <w:style w:type="paragraph" w:customStyle="1" w:styleId="MainTitle">
    <w:name w:val="Main Title"/>
    <w:basedOn w:val="N4Title"/>
    <w:qFormat/>
    <w:rsid w:val="0087272A"/>
    <w:pPr>
      <w:tabs>
        <w:tab w:val="clear" w:pos="4513"/>
        <w:tab w:val="clear" w:pos="6663"/>
        <w:tab w:val="clear" w:pos="9072"/>
      </w:tabs>
      <w:ind w:right="543"/>
      <w:jc w:val="left"/>
    </w:pPr>
    <w:rPr>
      <w:caps w:val="0"/>
      <w:sz w:val="40"/>
      <w:szCs w:val="40"/>
    </w:rPr>
  </w:style>
  <w:style w:type="character" w:styleId="SubtleEmphasis">
    <w:name w:val="Subtle Emphasis"/>
    <w:uiPriority w:val="19"/>
    <w:qFormat/>
    <w:rsid w:val="00AC048B"/>
    <w:rPr>
      <w:rFonts w:ascii="Arial" w:hAnsi="Arial"/>
      <w:b w:val="0"/>
      <w:bCs w:val="0"/>
      <w:i w:val="0"/>
      <w:iCs w:val="0"/>
      <w:color w:val="ADAFAF" w:themeColor="text2"/>
      <w:sz w:val="20"/>
      <w:szCs w:val="20"/>
    </w:rPr>
  </w:style>
  <w:style w:type="paragraph" w:styleId="Subtitle">
    <w:name w:val="Subtitle"/>
    <w:basedOn w:val="NoSpacing"/>
    <w:next w:val="Normal"/>
    <w:link w:val="SubtitleChar"/>
    <w:uiPriority w:val="11"/>
    <w:rsid w:val="00BB249A"/>
    <w:pPr>
      <w:ind w:right="484"/>
      <w:jc w:val="right"/>
    </w:pPr>
  </w:style>
  <w:style w:type="paragraph" w:styleId="NoSpacing">
    <w:name w:val="No Spacing"/>
    <w:uiPriority w:val="1"/>
    <w:qFormat/>
    <w:rsid w:val="002D5240"/>
    <w:rPr>
      <w:rFonts w:ascii="Arial" w:hAnsi="Arial"/>
      <w:color w:val="1E1E1E"/>
    </w:rPr>
  </w:style>
  <w:style w:type="character" w:customStyle="1" w:styleId="SubtitleChar">
    <w:name w:val="Subtitle Char"/>
    <w:link w:val="Subtitle"/>
    <w:uiPriority w:val="11"/>
    <w:rsid w:val="00BB249A"/>
    <w:rPr>
      <w:color w:val="797979"/>
      <w:sz w:val="20"/>
    </w:rPr>
  </w:style>
  <w:style w:type="character" w:styleId="IntenseEmphasis">
    <w:name w:val="Intense Emphasis"/>
    <w:uiPriority w:val="21"/>
    <w:qFormat/>
    <w:rsid w:val="00AC048B"/>
    <w:rPr>
      <w:rFonts w:ascii="Arial" w:hAnsi="Arial"/>
      <w:b/>
      <w:bCs/>
      <w:i/>
      <w:iCs/>
      <w:color w:val="E83460" w:themeColor="accent2"/>
      <w:sz w:val="20"/>
      <w:szCs w:val="20"/>
    </w:rPr>
  </w:style>
  <w:style w:type="character" w:styleId="Emphasis">
    <w:name w:val="Emphasis"/>
    <w:uiPriority w:val="20"/>
    <w:qFormat/>
    <w:rsid w:val="00AC048B"/>
    <w:rPr>
      <w:rFonts w:ascii="Arial" w:hAnsi="Arial"/>
      <w:b/>
      <w:bCs/>
      <w:i/>
      <w:iCs/>
      <w:color w:val="323232" w:themeColor="text1"/>
      <w:sz w:val="20"/>
      <w:szCs w:val="20"/>
    </w:rPr>
  </w:style>
  <w:style w:type="character" w:styleId="Strong">
    <w:name w:val="Strong"/>
    <w:uiPriority w:val="22"/>
    <w:qFormat/>
    <w:rsid w:val="00AC048B"/>
    <w:rPr>
      <w:rFonts w:ascii="Arial" w:hAnsi="Arial"/>
      <w:b/>
      <w:bCs/>
      <w:i w:val="0"/>
      <w:iCs w:val="0"/>
      <w:color w:val="323232" w:themeColor="text1"/>
      <w:sz w:val="20"/>
      <w:szCs w:val="20"/>
    </w:rPr>
  </w:style>
  <w:style w:type="paragraph" w:styleId="ListParagraph">
    <w:name w:val="List Paragraph"/>
    <w:basedOn w:val="Normal"/>
    <w:autoRedefine/>
    <w:uiPriority w:val="34"/>
    <w:qFormat/>
    <w:rsid w:val="007E2E1C"/>
    <w:pPr>
      <w:numPr>
        <w:numId w:val="4"/>
      </w:numPr>
      <w:spacing w:after="100" w:afterAutospacing="1" w:line="240" w:lineRule="auto"/>
      <w:contextualSpacing/>
      <w:jc w:val="left"/>
    </w:pPr>
  </w:style>
  <w:style w:type="paragraph" w:styleId="Quote">
    <w:name w:val="Quote"/>
    <w:basedOn w:val="Normal"/>
    <w:next w:val="Normal"/>
    <w:link w:val="QuoteChar"/>
    <w:uiPriority w:val="29"/>
    <w:qFormat/>
    <w:rsid w:val="00FD5F6E"/>
    <w:rPr>
      <w:i/>
      <w:iCs/>
      <w:color w:val="565A5C"/>
    </w:rPr>
  </w:style>
  <w:style w:type="character" w:customStyle="1" w:styleId="QuoteChar">
    <w:name w:val="Quote Char"/>
    <w:link w:val="Quote"/>
    <w:uiPriority w:val="29"/>
    <w:rsid w:val="00FD5F6E"/>
    <w:rPr>
      <w:rFonts w:ascii="Arial" w:hAnsi="Arial"/>
      <w:i/>
      <w:iCs/>
      <w:color w:val="565A5C"/>
      <w:sz w:val="20"/>
      <w:szCs w:val="20"/>
    </w:rPr>
  </w:style>
  <w:style w:type="character" w:styleId="Hyperlink">
    <w:name w:val="Hyperlink"/>
    <w:uiPriority w:val="99"/>
    <w:unhideWhenUsed/>
    <w:rsid w:val="00067346"/>
    <w:rPr>
      <w:color w:val="F37321"/>
      <w:u w:val="single"/>
    </w:rPr>
  </w:style>
  <w:style w:type="paragraph" w:customStyle="1" w:styleId="footnote">
    <w:name w:val="footnote"/>
    <w:basedOn w:val="Footer"/>
    <w:qFormat/>
    <w:rsid w:val="00B36391"/>
    <w:pPr>
      <w:jc w:val="center"/>
    </w:pPr>
    <w:rPr>
      <w:color w:val="A6A6A6"/>
      <w:sz w:val="14"/>
    </w:rPr>
  </w:style>
  <w:style w:type="paragraph" w:customStyle="1" w:styleId="Default">
    <w:name w:val="Default"/>
    <w:rsid w:val="0050180A"/>
    <w:pPr>
      <w:widowControl w:val="0"/>
      <w:autoSpaceDE w:val="0"/>
      <w:autoSpaceDN w:val="0"/>
      <w:adjustRightInd w:val="0"/>
    </w:pPr>
    <w:rPr>
      <w:rFonts w:cs="Trebuchet MS"/>
      <w:color w:val="000000"/>
      <w:sz w:val="24"/>
      <w:szCs w:val="24"/>
      <w:lang w:val="en-US"/>
    </w:rPr>
  </w:style>
  <w:style w:type="table" w:styleId="TableGrid">
    <w:name w:val="Table Grid"/>
    <w:basedOn w:val="TableNormal"/>
    <w:rsid w:val="00B81D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B81D63"/>
    <w:rPr>
      <w:color w:val="252525" w:themeColor="text1" w:themeShade="BF"/>
    </w:rPr>
    <w:tblPr>
      <w:tblStyleRowBandSize w:val="1"/>
      <w:tblStyleColBandSize w:val="1"/>
      <w:tblBorders>
        <w:top w:val="single" w:sz="8" w:space="0" w:color="323232" w:themeColor="text1"/>
        <w:bottom w:val="single" w:sz="8" w:space="0" w:color="323232" w:themeColor="text1"/>
      </w:tblBorders>
    </w:tblPr>
    <w:tblStylePr w:type="firstRow">
      <w:pPr>
        <w:spacing w:before="0" w:after="0" w:line="240" w:lineRule="auto"/>
      </w:pPr>
      <w:rPr>
        <w:b/>
        <w:bCs/>
      </w:rPr>
      <w:tblPr/>
      <w:tcPr>
        <w:tcBorders>
          <w:top w:val="single" w:sz="8" w:space="0" w:color="323232" w:themeColor="text1"/>
          <w:left w:val="nil"/>
          <w:bottom w:val="single" w:sz="8" w:space="0" w:color="323232" w:themeColor="text1"/>
          <w:right w:val="nil"/>
          <w:insideH w:val="nil"/>
          <w:insideV w:val="nil"/>
        </w:tcBorders>
      </w:tcPr>
    </w:tblStylePr>
    <w:tblStylePr w:type="lastRow">
      <w:pPr>
        <w:spacing w:before="0" w:after="0" w:line="240" w:lineRule="auto"/>
      </w:pPr>
      <w:rPr>
        <w:b/>
        <w:bCs/>
      </w:rPr>
      <w:tblPr/>
      <w:tcPr>
        <w:tcBorders>
          <w:top w:val="single" w:sz="8" w:space="0" w:color="323232" w:themeColor="text1"/>
          <w:left w:val="nil"/>
          <w:bottom w:val="single" w:sz="8" w:space="0" w:color="323232"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CCCCC" w:themeFill="text1" w:themeFillTint="3F"/>
      </w:tcPr>
    </w:tblStylePr>
    <w:tblStylePr w:type="band1Horz">
      <w:tblPr/>
      <w:tcPr>
        <w:tcBorders>
          <w:left w:val="nil"/>
          <w:right w:val="nil"/>
          <w:insideH w:val="nil"/>
          <w:insideV w:val="nil"/>
        </w:tcBorders>
        <w:shd w:val="clear" w:color="auto" w:fill="CCCCCC" w:themeFill="text1" w:themeFillTint="3F"/>
      </w:tcPr>
    </w:tblStylePr>
  </w:style>
  <w:style w:type="table" w:styleId="LightShading-Accent1">
    <w:name w:val="Light Shading Accent 1"/>
    <w:basedOn w:val="TableNormal"/>
    <w:uiPriority w:val="60"/>
    <w:rsid w:val="00B81D63"/>
    <w:rPr>
      <w:color w:val="C96E07" w:themeColor="accent1" w:themeShade="BF"/>
    </w:rPr>
    <w:tblPr>
      <w:tblStyleRowBandSize w:val="1"/>
      <w:tblStyleColBandSize w:val="1"/>
      <w:tblBorders>
        <w:top w:val="single" w:sz="8" w:space="0" w:color="F79220" w:themeColor="accent1"/>
        <w:bottom w:val="single" w:sz="8" w:space="0" w:color="F79220" w:themeColor="accent1"/>
      </w:tblBorders>
    </w:tblPr>
    <w:tblStylePr w:type="firstRow">
      <w:pPr>
        <w:spacing w:before="0" w:after="0" w:line="240" w:lineRule="auto"/>
      </w:pPr>
      <w:rPr>
        <w:b/>
        <w:bCs/>
      </w:rPr>
      <w:tblPr/>
      <w:tcPr>
        <w:tcBorders>
          <w:top w:val="single" w:sz="8" w:space="0" w:color="F79220" w:themeColor="accent1"/>
          <w:left w:val="nil"/>
          <w:bottom w:val="single" w:sz="8" w:space="0" w:color="F79220" w:themeColor="accent1"/>
          <w:right w:val="nil"/>
          <w:insideH w:val="nil"/>
          <w:insideV w:val="nil"/>
        </w:tcBorders>
      </w:tcPr>
    </w:tblStylePr>
    <w:tblStylePr w:type="lastRow">
      <w:pPr>
        <w:spacing w:before="0" w:after="0" w:line="240" w:lineRule="auto"/>
      </w:pPr>
      <w:rPr>
        <w:b/>
        <w:bCs/>
      </w:rPr>
      <w:tblPr/>
      <w:tcPr>
        <w:tcBorders>
          <w:top w:val="single" w:sz="8" w:space="0" w:color="F79220" w:themeColor="accent1"/>
          <w:left w:val="nil"/>
          <w:bottom w:val="single" w:sz="8" w:space="0" w:color="F7922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3C7" w:themeFill="accent1" w:themeFillTint="3F"/>
      </w:tcPr>
    </w:tblStylePr>
    <w:tblStylePr w:type="band1Horz">
      <w:tblPr/>
      <w:tcPr>
        <w:tcBorders>
          <w:left w:val="nil"/>
          <w:right w:val="nil"/>
          <w:insideH w:val="nil"/>
          <w:insideV w:val="nil"/>
        </w:tcBorders>
        <w:shd w:val="clear" w:color="auto" w:fill="FDE3C7" w:themeFill="accent1" w:themeFillTint="3F"/>
      </w:tcPr>
    </w:tblStylePr>
  </w:style>
  <w:style w:type="table" w:styleId="MediumShading2-Accent6">
    <w:name w:val="Medium Shading 2 Accent 6"/>
    <w:basedOn w:val="TableNormal"/>
    <w:uiPriority w:val="64"/>
    <w:rsid w:val="00B81D6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22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220" w:themeFill="accent6"/>
      </w:tcPr>
    </w:tblStylePr>
    <w:tblStylePr w:type="lastCol">
      <w:rPr>
        <w:b/>
        <w:bCs/>
        <w:color w:val="FFFFFF" w:themeColor="background1"/>
      </w:rPr>
      <w:tblPr/>
      <w:tcPr>
        <w:tcBorders>
          <w:left w:val="nil"/>
          <w:right w:val="nil"/>
          <w:insideH w:val="nil"/>
          <w:insideV w:val="nil"/>
        </w:tcBorders>
        <w:shd w:val="clear" w:color="auto" w:fill="F7922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B81D63"/>
    <w:rPr>
      <w:color w:val="323232" w:themeColor="text1"/>
    </w:rPr>
    <w:tblPr>
      <w:tblStyleRowBandSize w:val="1"/>
      <w:tblStyleColBandSize w:val="1"/>
      <w:tblBorders>
        <w:top w:val="single" w:sz="8" w:space="0" w:color="323232" w:themeColor="text1"/>
        <w:bottom w:val="single" w:sz="8" w:space="0" w:color="323232" w:themeColor="text1"/>
      </w:tblBorders>
    </w:tblPr>
    <w:tblStylePr w:type="firstRow">
      <w:rPr>
        <w:rFonts w:asciiTheme="majorHAnsi" w:eastAsiaTheme="majorEastAsia" w:hAnsiTheme="majorHAnsi" w:cstheme="majorBidi"/>
      </w:rPr>
      <w:tblPr/>
      <w:tcPr>
        <w:tcBorders>
          <w:top w:val="nil"/>
          <w:bottom w:val="single" w:sz="8" w:space="0" w:color="323232" w:themeColor="text1"/>
        </w:tcBorders>
      </w:tcPr>
    </w:tblStylePr>
    <w:tblStylePr w:type="lastRow">
      <w:rPr>
        <w:b/>
        <w:bCs/>
        <w:color w:val="ADAFAF" w:themeColor="text2"/>
      </w:rPr>
      <w:tblPr/>
      <w:tcPr>
        <w:tcBorders>
          <w:top w:val="single" w:sz="8" w:space="0" w:color="323232" w:themeColor="text1"/>
          <w:bottom w:val="single" w:sz="8" w:space="0" w:color="323232" w:themeColor="text1"/>
        </w:tcBorders>
      </w:tcPr>
    </w:tblStylePr>
    <w:tblStylePr w:type="firstCol">
      <w:rPr>
        <w:b/>
        <w:bCs/>
      </w:rPr>
    </w:tblStylePr>
    <w:tblStylePr w:type="lastCol">
      <w:rPr>
        <w:b/>
        <w:bCs/>
      </w:rPr>
      <w:tblPr/>
      <w:tcPr>
        <w:tcBorders>
          <w:top w:val="single" w:sz="8" w:space="0" w:color="323232" w:themeColor="text1"/>
          <w:bottom w:val="single" w:sz="8" w:space="0" w:color="323232" w:themeColor="text1"/>
        </w:tcBorders>
      </w:tcPr>
    </w:tblStylePr>
    <w:tblStylePr w:type="band1Vert">
      <w:tblPr/>
      <w:tcPr>
        <w:shd w:val="clear" w:color="auto" w:fill="CCCCCC" w:themeFill="text1" w:themeFillTint="3F"/>
      </w:tcPr>
    </w:tblStylePr>
    <w:tblStylePr w:type="band1Horz">
      <w:tblPr/>
      <w:tcPr>
        <w:shd w:val="clear" w:color="auto" w:fill="CCCCCC" w:themeFill="text1" w:themeFillTint="3F"/>
      </w:tcPr>
    </w:tblStylePr>
  </w:style>
  <w:style w:type="table" w:styleId="MediumList1-Accent1">
    <w:name w:val="Medium List 1 Accent 1"/>
    <w:basedOn w:val="TableNormal"/>
    <w:uiPriority w:val="65"/>
    <w:rsid w:val="00B81D63"/>
    <w:rPr>
      <w:color w:val="323232" w:themeColor="text1"/>
    </w:rPr>
    <w:tblPr>
      <w:tblStyleRowBandSize w:val="1"/>
      <w:tblStyleColBandSize w:val="1"/>
      <w:tblBorders>
        <w:top w:val="single" w:sz="8" w:space="0" w:color="F79220" w:themeColor="accent1"/>
        <w:bottom w:val="single" w:sz="8" w:space="0" w:color="F79220" w:themeColor="accent1"/>
      </w:tblBorders>
    </w:tblPr>
    <w:tblStylePr w:type="firstRow">
      <w:rPr>
        <w:rFonts w:asciiTheme="majorHAnsi" w:eastAsiaTheme="majorEastAsia" w:hAnsiTheme="majorHAnsi" w:cstheme="majorBidi"/>
      </w:rPr>
      <w:tblPr/>
      <w:tcPr>
        <w:tcBorders>
          <w:top w:val="nil"/>
          <w:bottom w:val="single" w:sz="8" w:space="0" w:color="F79220" w:themeColor="accent1"/>
        </w:tcBorders>
      </w:tcPr>
    </w:tblStylePr>
    <w:tblStylePr w:type="lastRow">
      <w:rPr>
        <w:b/>
        <w:bCs/>
        <w:color w:val="ADAFAF" w:themeColor="text2"/>
      </w:rPr>
      <w:tblPr/>
      <w:tcPr>
        <w:tcBorders>
          <w:top w:val="single" w:sz="8" w:space="0" w:color="F79220" w:themeColor="accent1"/>
          <w:bottom w:val="single" w:sz="8" w:space="0" w:color="F79220" w:themeColor="accent1"/>
        </w:tcBorders>
      </w:tcPr>
    </w:tblStylePr>
    <w:tblStylePr w:type="firstCol">
      <w:rPr>
        <w:b/>
        <w:bCs/>
      </w:rPr>
    </w:tblStylePr>
    <w:tblStylePr w:type="lastCol">
      <w:rPr>
        <w:b/>
        <w:bCs/>
      </w:rPr>
      <w:tblPr/>
      <w:tcPr>
        <w:tcBorders>
          <w:top w:val="single" w:sz="8" w:space="0" w:color="F79220" w:themeColor="accent1"/>
          <w:bottom w:val="single" w:sz="8" w:space="0" w:color="F79220" w:themeColor="accent1"/>
        </w:tcBorders>
      </w:tcPr>
    </w:tblStylePr>
    <w:tblStylePr w:type="band1Vert">
      <w:tblPr/>
      <w:tcPr>
        <w:shd w:val="clear" w:color="auto" w:fill="FDE3C7" w:themeFill="accent1" w:themeFillTint="3F"/>
      </w:tcPr>
    </w:tblStylePr>
    <w:tblStylePr w:type="band1Horz">
      <w:tblPr/>
      <w:tcPr>
        <w:shd w:val="clear" w:color="auto" w:fill="FDE3C7" w:themeFill="accent1" w:themeFillTint="3F"/>
      </w:tcPr>
    </w:tblStylePr>
  </w:style>
  <w:style w:type="table" w:styleId="MediumGrid3-Accent1">
    <w:name w:val="Medium Grid 3 Accent 1"/>
    <w:basedOn w:val="TableNormal"/>
    <w:uiPriority w:val="69"/>
    <w:rsid w:val="00B81D6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3C7"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22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22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22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22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88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88F" w:themeFill="accent1" w:themeFillTint="7F"/>
      </w:tcPr>
    </w:tblStylePr>
  </w:style>
  <w:style w:type="table" w:styleId="ColorfulList-Accent1">
    <w:name w:val="Colorful List Accent 1"/>
    <w:basedOn w:val="TableNormal"/>
    <w:uiPriority w:val="72"/>
    <w:rsid w:val="00B81D63"/>
    <w:rPr>
      <w:color w:val="323232" w:themeColor="text1"/>
    </w:rPr>
    <w:tblPr>
      <w:tblStyleRowBandSize w:val="1"/>
      <w:tblStyleColBandSize w:val="1"/>
    </w:tblPr>
    <w:tcPr>
      <w:shd w:val="clear" w:color="auto" w:fill="FEF4E9" w:themeFill="accent1" w:themeFillTint="19"/>
    </w:tcPr>
    <w:tblStylePr w:type="firstRow">
      <w:rPr>
        <w:b/>
        <w:bCs/>
        <w:color w:val="FFFFFF" w:themeColor="background1"/>
      </w:rPr>
      <w:tblPr/>
      <w:tcPr>
        <w:tcBorders>
          <w:bottom w:val="single" w:sz="12" w:space="0" w:color="FFFFFF" w:themeColor="background1"/>
        </w:tcBorders>
        <w:shd w:val="clear" w:color="auto" w:fill="CB1743" w:themeFill="accent2" w:themeFillShade="CC"/>
      </w:tcPr>
    </w:tblStylePr>
    <w:tblStylePr w:type="lastRow">
      <w:rPr>
        <w:b/>
        <w:bCs/>
        <w:color w:val="CB1743" w:themeColor="accent2" w:themeShade="CC"/>
      </w:rPr>
      <w:tblPr/>
      <w:tcPr>
        <w:tcBorders>
          <w:top w:val="single" w:sz="12" w:space="0" w:color="323232"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3C7" w:themeFill="accent1" w:themeFillTint="3F"/>
      </w:tcPr>
    </w:tblStylePr>
    <w:tblStylePr w:type="band1Horz">
      <w:tblPr/>
      <w:tcPr>
        <w:shd w:val="clear" w:color="auto" w:fill="FDE9D2" w:themeFill="accent1" w:themeFillTint="33"/>
      </w:tcPr>
    </w:tblStylePr>
  </w:style>
  <w:style w:type="table" w:styleId="TableContemporary">
    <w:name w:val="Table Contemporary"/>
    <w:basedOn w:val="TableNormal"/>
    <w:rsid w:val="00600920"/>
    <w:pPr>
      <w:jc w:val="both"/>
    </w:pPr>
    <w:rPr>
      <w:rFonts w:ascii="Times New Roman" w:eastAsia="Times New Roman" w:hAnsi="Times New Roman"/>
      <w:lang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customStyle="1" w:styleId="Footertxt">
    <w:name w:val="Footer txt"/>
    <w:basedOn w:val="DefaultParagraphFont"/>
    <w:uiPriority w:val="1"/>
    <w:rsid w:val="003D0307"/>
    <w:rPr>
      <w:rFonts w:ascii="Arial" w:hAnsi="Arial"/>
      <w:color w:val="8E908F"/>
      <w:sz w:val="18"/>
    </w:rPr>
  </w:style>
  <w:style w:type="paragraph" w:styleId="Caption">
    <w:name w:val="caption"/>
    <w:basedOn w:val="Normal"/>
    <w:next w:val="Normal"/>
    <w:uiPriority w:val="35"/>
    <w:unhideWhenUsed/>
    <w:qFormat/>
    <w:rsid w:val="0027312C"/>
    <w:pPr>
      <w:spacing w:line="240" w:lineRule="auto"/>
    </w:pPr>
    <w:rPr>
      <w:i/>
      <w:iCs/>
      <w:color w:val="ADAFAF" w:themeColor="text2"/>
      <w:sz w:val="18"/>
      <w:szCs w:val="18"/>
    </w:rPr>
  </w:style>
  <w:style w:type="paragraph" w:styleId="CommentText">
    <w:name w:val="annotation text"/>
    <w:basedOn w:val="Normal"/>
    <w:link w:val="CommentTextChar"/>
    <w:uiPriority w:val="99"/>
    <w:semiHidden/>
    <w:unhideWhenUsed/>
    <w:rsid w:val="00DD320F"/>
    <w:pPr>
      <w:spacing w:line="240" w:lineRule="auto"/>
    </w:pPr>
    <w:rPr>
      <w:sz w:val="24"/>
      <w:szCs w:val="24"/>
    </w:rPr>
  </w:style>
  <w:style w:type="character" w:customStyle="1" w:styleId="CommentTextChar">
    <w:name w:val="Comment Text Char"/>
    <w:basedOn w:val="DefaultParagraphFont"/>
    <w:link w:val="CommentText"/>
    <w:uiPriority w:val="99"/>
    <w:semiHidden/>
    <w:rsid w:val="00DD320F"/>
    <w:rPr>
      <w:rFonts w:ascii="Arial" w:hAnsi="Arial"/>
      <w:color w:val="1E1E1E"/>
      <w:sz w:val="24"/>
      <w:szCs w:val="24"/>
    </w:rPr>
  </w:style>
  <w:style w:type="character" w:customStyle="1" w:styleId="CommentSubjectChar">
    <w:name w:val="Comment Subject Char"/>
    <w:basedOn w:val="CommentTextChar"/>
    <w:link w:val="CommentSubject"/>
    <w:uiPriority w:val="99"/>
    <w:semiHidden/>
    <w:rsid w:val="00DD320F"/>
    <w:rPr>
      <w:rFonts w:ascii="Arial" w:hAnsi="Arial"/>
      <w:b/>
      <w:bCs/>
      <w:color w:val="1E1E1E"/>
      <w:sz w:val="24"/>
      <w:szCs w:val="24"/>
    </w:rPr>
  </w:style>
  <w:style w:type="paragraph" w:styleId="CommentSubject">
    <w:name w:val="annotation subject"/>
    <w:basedOn w:val="CommentText"/>
    <w:next w:val="CommentText"/>
    <w:link w:val="CommentSubjectChar"/>
    <w:uiPriority w:val="99"/>
    <w:semiHidden/>
    <w:unhideWhenUsed/>
    <w:rsid w:val="00DD320F"/>
    <w:rPr>
      <w:b/>
      <w:bCs/>
      <w:sz w:val="20"/>
      <w:szCs w:val="20"/>
    </w:rPr>
  </w:style>
  <w:style w:type="character" w:styleId="CommentReference">
    <w:name w:val="annotation reference"/>
    <w:basedOn w:val="DefaultParagraphFont"/>
    <w:uiPriority w:val="99"/>
    <w:semiHidden/>
    <w:unhideWhenUsed/>
    <w:rsid w:val="005F2C2E"/>
    <w:rPr>
      <w:sz w:val="18"/>
      <w:szCs w:val="18"/>
    </w:rPr>
  </w:style>
  <w:style w:type="paragraph" w:customStyle="1" w:styleId="TableParagraph">
    <w:name w:val="Table Paragraph"/>
    <w:basedOn w:val="Normal"/>
    <w:uiPriority w:val="1"/>
    <w:qFormat/>
    <w:rsid w:val="00797E34"/>
    <w:pPr>
      <w:widowControl w:val="0"/>
      <w:autoSpaceDE w:val="0"/>
      <w:autoSpaceDN w:val="0"/>
      <w:spacing w:after="0" w:line="240" w:lineRule="auto"/>
      <w:ind w:left="947" w:hanging="360"/>
      <w:jc w:val="left"/>
    </w:pPr>
    <w:rPr>
      <w:rFonts w:ascii="Verdana" w:eastAsia="Verdana" w:hAnsi="Verdana" w:cs="Verdana"/>
      <w:color w:val="auto"/>
      <w:sz w:val="22"/>
      <w:szCs w:val="22"/>
      <w:lang w:eastAsia="en-GB" w:bidi="en-GB"/>
    </w:rPr>
  </w:style>
  <w:style w:type="table" w:customStyle="1" w:styleId="TableGrid1">
    <w:name w:val="Table Grid1"/>
    <w:basedOn w:val="TableNormal"/>
    <w:next w:val="TableGrid"/>
    <w:rsid w:val="007E2E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65627">
      <w:bodyDiv w:val="1"/>
      <w:marLeft w:val="0"/>
      <w:marRight w:val="0"/>
      <w:marTop w:val="0"/>
      <w:marBottom w:val="0"/>
      <w:divBdr>
        <w:top w:val="none" w:sz="0" w:space="0" w:color="auto"/>
        <w:left w:val="none" w:sz="0" w:space="0" w:color="auto"/>
        <w:bottom w:val="none" w:sz="0" w:space="0" w:color="auto"/>
        <w:right w:val="none" w:sz="0" w:space="0" w:color="auto"/>
      </w:divBdr>
    </w:div>
    <w:div w:id="242878919">
      <w:bodyDiv w:val="1"/>
      <w:marLeft w:val="0"/>
      <w:marRight w:val="0"/>
      <w:marTop w:val="0"/>
      <w:marBottom w:val="0"/>
      <w:divBdr>
        <w:top w:val="none" w:sz="0" w:space="0" w:color="auto"/>
        <w:left w:val="none" w:sz="0" w:space="0" w:color="auto"/>
        <w:bottom w:val="none" w:sz="0" w:space="0" w:color="auto"/>
        <w:right w:val="none" w:sz="0" w:space="0" w:color="auto"/>
      </w:divBdr>
    </w:div>
    <w:div w:id="803347277">
      <w:bodyDiv w:val="1"/>
      <w:marLeft w:val="0"/>
      <w:marRight w:val="0"/>
      <w:marTop w:val="0"/>
      <w:marBottom w:val="0"/>
      <w:divBdr>
        <w:top w:val="none" w:sz="0" w:space="0" w:color="auto"/>
        <w:left w:val="none" w:sz="0" w:space="0" w:color="auto"/>
        <w:bottom w:val="none" w:sz="0" w:space="0" w:color="auto"/>
        <w:right w:val="none" w:sz="0" w:space="0" w:color="auto"/>
      </w:divBdr>
    </w:div>
    <w:div w:id="1205366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1.jpe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endnotes" Target="endnotes.xml"/><Relationship Id="rId23" Type="http://schemas.openxmlformats.org/officeDocument/2006/relationships/glossaryDocument" Target="glossary/document.xml"/><Relationship Id="rId10" Type="http://schemas.openxmlformats.org/officeDocument/2006/relationships/numbering" Target="numbering.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footnotes" Target="footnotes.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C00D643C283324FBBF4CDCD169D1C89"/>
        <w:category>
          <w:name w:val="General"/>
          <w:gallery w:val="placeholder"/>
        </w:category>
        <w:types>
          <w:type w:val="bbPlcHdr"/>
        </w:types>
        <w:behaviors>
          <w:behavior w:val="content"/>
        </w:behaviors>
        <w:guid w:val="{615DF56A-DEDE-EF4B-9C20-9BFEC3FF0DF7}"/>
      </w:docPartPr>
      <w:docPartBody>
        <w:p w:rsidR="00F724B9" w:rsidRDefault="00F724B9" w:rsidP="00F724B9">
          <w:pPr>
            <w:pStyle w:val="3C00D643C283324FBBF4CDCD169D1C89"/>
          </w:pPr>
          <w:r w:rsidRPr="00A050CA">
            <w:rPr>
              <w:rStyle w:val="PlaceholderText"/>
            </w:rPr>
            <w:t>[Title]</w:t>
          </w:r>
        </w:p>
      </w:docPartBody>
    </w:docPart>
    <w:docPart>
      <w:docPartPr>
        <w:name w:val="6C054F4347B3CC45849FF3316CA2A3F9"/>
        <w:category>
          <w:name w:val="General"/>
          <w:gallery w:val="placeholder"/>
        </w:category>
        <w:types>
          <w:type w:val="bbPlcHdr"/>
        </w:types>
        <w:behaviors>
          <w:behavior w:val="content"/>
        </w:behaviors>
        <w:guid w:val="{24B37339-BEA0-F646-B25B-886B27DDABF6}"/>
      </w:docPartPr>
      <w:docPartBody>
        <w:p w:rsidR="00F724B9" w:rsidRDefault="00F724B9" w:rsidP="00F724B9">
          <w:pPr>
            <w:pStyle w:val="6C054F4347B3CC45849FF3316CA2A3F9"/>
          </w:pPr>
          <w:r w:rsidRPr="00A050CA">
            <w:rPr>
              <w:rStyle w:val="PlaceholderText"/>
            </w:rPr>
            <w:t>[Subject]</w:t>
          </w:r>
        </w:p>
      </w:docPartBody>
    </w:docPart>
    <w:docPart>
      <w:docPartPr>
        <w:name w:val="50427EA1CB3D4A8D99CDDA77AE5C2155"/>
        <w:category>
          <w:name w:val="General"/>
          <w:gallery w:val="placeholder"/>
        </w:category>
        <w:types>
          <w:type w:val="bbPlcHdr"/>
        </w:types>
        <w:behaviors>
          <w:behavior w:val="content"/>
        </w:behaviors>
        <w:guid w:val="{001D6C59-969B-4A65-ACB6-7167BC2D6746}"/>
      </w:docPartPr>
      <w:docPartBody>
        <w:p w:rsidR="00F06089" w:rsidRDefault="00841D31" w:rsidP="00841D31">
          <w:pPr>
            <w:pStyle w:val="50427EA1CB3D4A8D99CDDA77AE5C2155"/>
          </w:pPr>
          <w:r w:rsidRPr="00A050CA">
            <w:rPr>
              <w:rStyle w:val="PlaceholderText"/>
            </w:rPr>
            <w:t>[Title]</w:t>
          </w:r>
        </w:p>
      </w:docPartBody>
    </w:docPart>
    <w:docPart>
      <w:docPartPr>
        <w:name w:val="C3FE86D5B5754E4B8C26B5E0BE22EB98"/>
        <w:category>
          <w:name w:val="General"/>
          <w:gallery w:val="placeholder"/>
        </w:category>
        <w:types>
          <w:type w:val="bbPlcHdr"/>
        </w:types>
        <w:behaviors>
          <w:behavior w:val="content"/>
        </w:behaviors>
        <w:guid w:val="{BD930396-4CFB-4B4B-8495-2A95CEBA75D9}"/>
      </w:docPartPr>
      <w:docPartBody>
        <w:p w:rsidR="00F06089" w:rsidRDefault="00841D31" w:rsidP="00841D31">
          <w:pPr>
            <w:pStyle w:val="C3FE86D5B5754E4B8C26B5E0BE22EB98"/>
          </w:pPr>
          <w:r w:rsidRPr="00BA332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4B9"/>
    <w:rsid w:val="0000669E"/>
    <w:rsid w:val="000E0A90"/>
    <w:rsid w:val="0010192B"/>
    <w:rsid w:val="00334432"/>
    <w:rsid w:val="003E59FD"/>
    <w:rsid w:val="005452A0"/>
    <w:rsid w:val="00557E80"/>
    <w:rsid w:val="005B2B97"/>
    <w:rsid w:val="005F0431"/>
    <w:rsid w:val="00696A96"/>
    <w:rsid w:val="006F10E0"/>
    <w:rsid w:val="00722F26"/>
    <w:rsid w:val="0078585B"/>
    <w:rsid w:val="007B54ED"/>
    <w:rsid w:val="007B59B7"/>
    <w:rsid w:val="00813036"/>
    <w:rsid w:val="00823099"/>
    <w:rsid w:val="00841D31"/>
    <w:rsid w:val="008E3376"/>
    <w:rsid w:val="009133BD"/>
    <w:rsid w:val="00944D2B"/>
    <w:rsid w:val="009C43D0"/>
    <w:rsid w:val="00A02BF8"/>
    <w:rsid w:val="00A41E6A"/>
    <w:rsid w:val="00AD7A70"/>
    <w:rsid w:val="00BA4D88"/>
    <w:rsid w:val="00BF46B4"/>
    <w:rsid w:val="00C35C4B"/>
    <w:rsid w:val="00C731DC"/>
    <w:rsid w:val="00C81B49"/>
    <w:rsid w:val="00CF172E"/>
    <w:rsid w:val="00DE4A05"/>
    <w:rsid w:val="00EC22CB"/>
    <w:rsid w:val="00F06089"/>
    <w:rsid w:val="00F233D0"/>
    <w:rsid w:val="00F724B9"/>
    <w:rsid w:val="00FF78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841D31"/>
    <w:rPr>
      <w:color w:val="808080"/>
    </w:rPr>
  </w:style>
  <w:style w:type="paragraph" w:customStyle="1" w:styleId="811C4A6AB6E77246BF9FF27EEBB25827">
    <w:name w:val="811C4A6AB6E77246BF9FF27EEBB25827"/>
  </w:style>
  <w:style w:type="paragraph" w:customStyle="1" w:styleId="E9DFA9CF8398E2459B50511A2D399AF0">
    <w:name w:val="E9DFA9CF8398E2459B50511A2D399AF0"/>
  </w:style>
  <w:style w:type="paragraph" w:customStyle="1" w:styleId="E88F2B6C1B4EE9439619B8FB4814C113">
    <w:name w:val="E88F2B6C1B4EE9439619B8FB4814C113"/>
  </w:style>
  <w:style w:type="paragraph" w:customStyle="1" w:styleId="A31ECE069FE8A5498B275B7E98447152">
    <w:name w:val="A31ECE069FE8A5498B275B7E98447152"/>
  </w:style>
  <w:style w:type="paragraph" w:customStyle="1" w:styleId="48665A62D686304D96EA6F9B342556F7">
    <w:name w:val="48665A62D686304D96EA6F9B342556F7"/>
  </w:style>
  <w:style w:type="paragraph" w:customStyle="1" w:styleId="92F3879245E18842A45B5F2229E79430">
    <w:name w:val="92F3879245E18842A45B5F2229E79430"/>
  </w:style>
  <w:style w:type="paragraph" w:customStyle="1" w:styleId="53C352BB3189964BB26A287BA2740FA3">
    <w:name w:val="53C352BB3189964BB26A287BA2740FA3"/>
  </w:style>
  <w:style w:type="paragraph" w:customStyle="1" w:styleId="3C00D643C283324FBBF4CDCD169D1C89">
    <w:name w:val="3C00D643C283324FBBF4CDCD169D1C89"/>
    <w:rsid w:val="00F724B9"/>
  </w:style>
  <w:style w:type="paragraph" w:customStyle="1" w:styleId="6C054F4347B3CC45849FF3316CA2A3F9">
    <w:name w:val="6C054F4347B3CC45849FF3316CA2A3F9"/>
    <w:rsid w:val="00F724B9"/>
  </w:style>
  <w:style w:type="paragraph" w:customStyle="1" w:styleId="DD6603AC80398D418AB54287D183F57F">
    <w:name w:val="DD6603AC80398D418AB54287D183F57F"/>
    <w:rsid w:val="00F724B9"/>
  </w:style>
  <w:style w:type="paragraph" w:customStyle="1" w:styleId="15A222B0C4E08D4D88BD068E9821BAE2">
    <w:name w:val="15A222B0C4E08D4D88BD068E9821BAE2"/>
    <w:rsid w:val="00F724B9"/>
  </w:style>
  <w:style w:type="paragraph" w:customStyle="1" w:styleId="3C741A683F4BF44386F70FF6B84D5A32">
    <w:name w:val="3C741A683F4BF44386F70FF6B84D5A32"/>
    <w:rsid w:val="00F724B9"/>
  </w:style>
  <w:style w:type="paragraph" w:customStyle="1" w:styleId="96ECCCC2DED1AD4EB47F2597BEF66681">
    <w:name w:val="96ECCCC2DED1AD4EB47F2597BEF66681"/>
    <w:rsid w:val="00F724B9"/>
  </w:style>
  <w:style w:type="paragraph" w:customStyle="1" w:styleId="046A54F7430D4FD1957E52D7D342CC5C">
    <w:name w:val="046A54F7430D4FD1957E52D7D342CC5C"/>
    <w:rsid w:val="00841D31"/>
    <w:pPr>
      <w:spacing w:after="160" w:line="259" w:lineRule="auto"/>
    </w:pPr>
    <w:rPr>
      <w:sz w:val="22"/>
      <w:szCs w:val="22"/>
      <w:lang w:val="en-GB" w:eastAsia="en-GB"/>
    </w:rPr>
  </w:style>
  <w:style w:type="paragraph" w:customStyle="1" w:styleId="50427EA1CB3D4A8D99CDDA77AE5C2155">
    <w:name w:val="50427EA1CB3D4A8D99CDDA77AE5C2155"/>
    <w:rsid w:val="00841D31"/>
    <w:pPr>
      <w:spacing w:after="160" w:line="259" w:lineRule="auto"/>
    </w:pPr>
    <w:rPr>
      <w:sz w:val="22"/>
      <w:szCs w:val="22"/>
      <w:lang w:val="en-GB" w:eastAsia="en-GB"/>
    </w:rPr>
  </w:style>
  <w:style w:type="paragraph" w:customStyle="1" w:styleId="C3FE86D5B5754E4B8C26B5E0BE22EB98">
    <w:name w:val="C3FE86D5B5754E4B8C26B5E0BE22EB98"/>
    <w:rsid w:val="00841D31"/>
    <w:pPr>
      <w:spacing w:after="160" w:line="259" w:lineRule="auto"/>
    </w:pPr>
    <w:rPr>
      <w:sz w:val="22"/>
      <w:szCs w:val="22"/>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Custom 11">
      <a:dk1>
        <a:srgbClr val="323232"/>
      </a:dk1>
      <a:lt1>
        <a:sysClr val="window" lastClr="FFFFFF"/>
      </a:lt1>
      <a:dk2>
        <a:srgbClr val="ADAFAF"/>
      </a:dk2>
      <a:lt2>
        <a:srgbClr val="EEECE1"/>
      </a:lt2>
      <a:accent1>
        <a:srgbClr val="F79220"/>
      </a:accent1>
      <a:accent2>
        <a:srgbClr val="E83460"/>
      </a:accent2>
      <a:accent3>
        <a:srgbClr val="9E8CC2"/>
      </a:accent3>
      <a:accent4>
        <a:srgbClr val="0288D1"/>
      </a:accent4>
      <a:accent5>
        <a:srgbClr val="00B6A5"/>
      </a:accent5>
      <a:accent6>
        <a:srgbClr val="F79220"/>
      </a:accent6>
      <a:hlink>
        <a:srgbClr val="F79220"/>
      </a:hlink>
      <a:folHlink>
        <a:srgbClr val="E8346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overPageProperties xmlns="http://schemas.microsoft.com/office/2006/coverPageProps">
  <PublishDate>2017-07-28T00:00:00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4649D3E611A1E45B94071E0A7A50CC4" ma:contentTypeVersion="0" ma:contentTypeDescription="Create a new document." ma:contentTypeScope="" ma:versionID="f1b02321c01a2cc4c1ef9f30dee74b89">
  <xsd:schema xmlns:xsd="http://www.w3.org/2001/XMLSchema" xmlns:xs="http://www.w3.org/2001/XMLSchema" xmlns:p="http://schemas.microsoft.com/office/2006/metadata/properties" xmlns:ns2="8ada9566-16df-408c-8db3-ec44ea18bc7e" targetNamespace="http://schemas.microsoft.com/office/2006/metadata/properties" ma:root="true" ma:fieldsID="70b2d5773c25bc16d11ddac3f510b2e6" ns2:_="">
    <xsd:import namespace="8ada9566-16df-408c-8db3-ec44ea18bc7e"/>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da9566-16df-408c-8db3-ec44ea18bc7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8ada9566-16df-408c-8db3-ec44ea18bc7e">HQUH5AKSS44Y-79-10307</_dlc_DocId>
    <_dlc_DocIdUrl xmlns="8ada9566-16df-408c-8db3-ec44ea18bc7e">
      <Url>http://sharepoint2013.node4.co.uk/products/_layouts/15/DocIdRedir.aspx?ID=HQUH5AKSS44Y-79-10307</Url>
      <Description>HQUH5AKSS44Y-79-10307</Description>
    </_dlc_DocIdUrl>
  </documentManagement>
</p:properties>
</file>

<file path=customXml/item5.xml><?xml version="1.0" encoding="utf-8"?>
<root>
</root>
</file>

<file path=customXml/item6.xml><root xmlns="Security Type">
  <Security name="Highly Confidential">Public</Security>
  <Security name="Confidential"/>
  <Security name="Internal Use only"/>
  <Security name="Confidential"/>
</root>
</file>

<file path=customXml/item7.xml><root xmlns="Document Category">
  <Type name="Technical">Report</Type>
  <Type name="White"/>
  <Type name="Manual"/>
  <Type name="Report"/>
</root>
</file>

<file path=customXml/item8.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9.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21FFA1B-3B75-47BF-B1F3-15A93492B3DA}">
  <ds:schemaRefs>
    <ds:schemaRef ds:uri="http://schemas.microsoft.com/sharepoint/v3/contenttype/forms"/>
  </ds:schemaRefs>
</ds:datastoreItem>
</file>

<file path=customXml/itemProps3.xml><?xml version="1.0" encoding="utf-8"?>
<ds:datastoreItem xmlns:ds="http://schemas.openxmlformats.org/officeDocument/2006/customXml" ds:itemID="{6064D177-62F6-488C-A0AE-BDCFF208F2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da9566-16df-408c-8db3-ec44ea18bc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5E28B12-6E65-44C9-B47B-305618ED430F}">
  <ds:schemaRefs>
    <ds:schemaRef ds:uri="http://schemas.microsoft.com/office/2006/metadata/properties"/>
    <ds:schemaRef ds:uri="http://schemas.microsoft.com/office/infopath/2007/PartnerControls"/>
    <ds:schemaRef ds:uri="8ada9566-16df-408c-8db3-ec44ea18bc7e"/>
  </ds:schemaRefs>
</ds:datastoreItem>
</file>

<file path=customXml/itemProps5.xml><?xml version="1.0" encoding="utf-8"?>
<ds:datastoreItem xmlns:ds="http://schemas.openxmlformats.org/officeDocument/2006/customXml" ds:itemID="{526B576B-DEB9-4B76-979D-257E86ABCAAB}">
  <ds:schemaRefs/>
</ds:datastoreItem>
</file>

<file path=customXml/itemProps6.xml><?xml version="1.0" encoding="utf-8"?>
<ds:datastoreItem xmlns:ds="http://schemas.openxmlformats.org/officeDocument/2006/customXml" ds:itemID="{3B0260BB-1140-42BD-B14A-DF7052E49D72}">
  <ds:schemaRefs>
    <ds:schemaRef ds:uri="Security Type"/>
  </ds:schemaRefs>
</ds:datastoreItem>
</file>

<file path=customXml/itemProps7.xml><?xml version="1.0" encoding="utf-8"?>
<ds:datastoreItem xmlns:ds="http://schemas.openxmlformats.org/officeDocument/2006/customXml" ds:itemID="{A87D58F3-D782-4C0F-A953-9EC005021CBF}">
  <ds:schemaRefs>
    <ds:schemaRef ds:uri="Document Category"/>
  </ds:schemaRefs>
</ds:datastoreItem>
</file>

<file path=customXml/itemProps8.xml><?xml version="1.0" encoding="utf-8"?>
<ds:datastoreItem xmlns:ds="http://schemas.openxmlformats.org/officeDocument/2006/customXml" ds:itemID="{D9E96590-C4C7-40A4-A66E-F14519B70897}">
  <ds:schemaRefs>
    <ds:schemaRef ds:uri="http://schemas.microsoft.com/sharepoint/events"/>
  </ds:schemaRefs>
</ds:datastoreItem>
</file>

<file path=customXml/itemProps9.xml><?xml version="1.0" encoding="utf-8"?>
<ds:datastoreItem xmlns:ds="http://schemas.openxmlformats.org/officeDocument/2006/customXml" ds:itemID="{405DF779-CD90-4E66-98AE-426DE5644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6</Pages>
  <Words>2299</Words>
  <Characters>13106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Schedule Document</vt:lpstr>
    </vt:vector>
  </TitlesOfParts>
  <Company>Node4 Limited</Company>
  <LinksUpToDate>false</LinksUpToDate>
  <CharactersWithSpaces>15375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Schedule document</dc:title>
  <dc:subject>N4Protect DDOS and N4Protect DDoS+ Service</dc:subject>
  <dc:creator>Dominic Kerr-Delworth</dc:creator>
  <cp:keywords/>
  <dc:description/>
  <cp:lastModifiedBy>Andy Cresswell</cp:lastModifiedBy>
  <cp:revision>34</cp:revision>
  <cp:lastPrinted>2018-09-10T11:50:00Z</cp:lastPrinted>
  <dcterms:created xsi:type="dcterms:W3CDTF">2018-09-10T10:13:00Z</dcterms:created>
  <dcterms:modified xsi:type="dcterms:W3CDTF">2018-11-08T15:19:00Z</dcterms:modified>
  <cp:contentStatus>Public</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ada75488-298e-4798-8b0d-33e13366789e</vt:lpwstr>
  </property>
  <property fmtid="{D5CDD505-2E9C-101B-9397-08002B2CF9AE}" pid="3" name="ContentTypeId">
    <vt:lpwstr>0x010100F4649D3E611A1E45B94071E0A7A50CC4</vt:lpwstr>
  </property>
</Properties>
</file>