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2B49F2">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0164E" w14:textId="53A8BCF3" w:rsidR="004318B1" w:rsidRDefault="002528D6" w:rsidP="00A04071">
                            <w:pPr>
                              <w:pStyle w:val="MainTitle"/>
                              <w:tabs>
                                <w:tab w:val="left" w:pos="4111"/>
                              </w:tabs>
                              <w:ind w:right="496"/>
                              <w:jc w:val="right"/>
                              <w:rPr>
                                <w:rStyle w:val="TitleChar"/>
                              </w:rPr>
                            </w:pPr>
                            <w:sdt>
                              <w:sdtPr>
                                <w:rPr>
                                  <w:rFonts w:eastAsia="MS Mincho"/>
                                  <w:color w:val="auto"/>
                                  <w:spacing w:val="10"/>
                                  <w:kern w:val="28"/>
                                  <w:sz w:val="36"/>
                                  <w:szCs w:val="36"/>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spacing w:val="0"/>
                                  <w:kern w:val="0"/>
                                  <w:lang w:val="en-GB" w:bidi="ar-SA"/>
                                </w:rPr>
                              </w:sdtEndPr>
                              <w:sdtContent>
                                <w:r w:rsidR="00115DD3">
                                  <w:rPr>
                                    <w:rFonts w:eastAsia="MS Mincho"/>
                                    <w:color w:val="auto"/>
                                    <w:spacing w:val="10"/>
                                    <w:kern w:val="28"/>
                                    <w:sz w:val="36"/>
                                    <w:szCs w:val="36"/>
                                    <w:lang w:val="en-US" w:bidi="en-US"/>
                                  </w:rPr>
                                  <w:t>Schedule d</w:t>
                                </w:r>
                                <w:r w:rsidR="004318B1">
                                  <w:rPr>
                                    <w:rFonts w:eastAsia="MS Mincho"/>
                                    <w:color w:val="auto"/>
                                    <w:spacing w:val="10"/>
                                    <w:kern w:val="28"/>
                                    <w:sz w:val="36"/>
                                    <w:szCs w:val="36"/>
                                    <w:lang w:val="en-US" w:bidi="en-US"/>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74788FFC" w:rsidR="004318B1" w:rsidRPr="00485800" w:rsidRDefault="004318B1" w:rsidP="00D15A65">
                                <w:pPr>
                                  <w:pStyle w:val="Heading2"/>
                                  <w:numPr>
                                    <w:ilvl w:val="0"/>
                                    <w:numId w:val="0"/>
                                  </w:numPr>
                                  <w:ind w:left="357" w:right="496"/>
                                  <w:jc w:val="right"/>
                                  <w:rPr>
                                    <w:color w:val="F79220"/>
                                  </w:rPr>
                                </w:pPr>
                                <w:proofErr w:type="spellStart"/>
                                <w:r>
                                  <w:rPr>
                                    <w:color w:val="F79220"/>
                                  </w:rPr>
                                  <w:t>SIPLink</w:t>
                                </w:r>
                                <w:proofErr w:type="spellEnd"/>
                                <w:r>
                                  <w:rPr>
                                    <w:color w:val="F79220"/>
                                  </w:rPr>
                                  <w:t xml:space="preserve"> (Node4’s SIP Trunk Service)</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318B1" w:rsidRPr="00F00C3F" w:rsidRDefault="004318B1"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318B1" w:rsidRPr="00F00C3F" w:rsidRDefault="004318B1"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5BF3A3CC" w:rsidR="004318B1" w:rsidRPr="00F00C3F" w:rsidRDefault="004318B1" w:rsidP="00A04071">
                                <w:pPr>
                                  <w:ind w:right="496"/>
                                  <w:jc w:val="right"/>
                                  <w:rPr>
                                    <w:rStyle w:val="Emphasis"/>
                                    <w:rFonts w:cs="Arial"/>
                                    <w:b w:val="0"/>
                                  </w:rPr>
                                </w:pPr>
                                <w:r>
                                  <w:rPr>
                                    <w:rStyle w:val="Emphasis"/>
                                    <w:rFonts w:cs="Arial"/>
                                    <w:b w:val="0"/>
                                  </w:rPr>
                                  <w:t>28/</w:t>
                                </w:r>
                                <w:r w:rsidRPr="00F00C3F">
                                  <w:rPr>
                                    <w:rStyle w:val="Emphasis"/>
                                    <w:rFonts w:cs="Arial"/>
                                    <w:b w:val="0"/>
                                  </w:rPr>
                                  <w:t>0</w:t>
                                </w:r>
                                <w:r>
                                  <w:rPr>
                                    <w:rStyle w:val="Emphasis"/>
                                    <w:rFonts w:cs="Arial"/>
                                    <w:b w:val="0"/>
                                  </w:rPr>
                                  <w:t>7/2017</w:t>
                                </w:r>
                              </w:p>
                            </w:sdtContent>
                          </w:sdt>
                          <w:p w14:paraId="5AB4E343" w14:textId="77777777" w:rsidR="004318B1" w:rsidRDefault="004318B1"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53A8BCF3" w:rsidR="004318B1" w:rsidRDefault="002528D6" w:rsidP="00A04071">
                      <w:pPr>
                        <w:pStyle w:val="MainTitle"/>
                        <w:tabs>
                          <w:tab w:val="left" w:pos="4111"/>
                        </w:tabs>
                        <w:ind w:right="496"/>
                        <w:jc w:val="right"/>
                        <w:rPr>
                          <w:rStyle w:val="TitleChar"/>
                        </w:rPr>
                      </w:pPr>
                      <w:sdt>
                        <w:sdtPr>
                          <w:rPr>
                            <w:rFonts w:eastAsia="MS Mincho"/>
                            <w:color w:val="auto"/>
                            <w:spacing w:val="10"/>
                            <w:kern w:val="28"/>
                            <w:sz w:val="36"/>
                            <w:szCs w:val="36"/>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spacing w:val="0"/>
                            <w:kern w:val="0"/>
                            <w:lang w:val="en-GB" w:bidi="ar-SA"/>
                          </w:rPr>
                        </w:sdtEndPr>
                        <w:sdtContent>
                          <w:r w:rsidR="00115DD3">
                            <w:rPr>
                              <w:rFonts w:eastAsia="MS Mincho"/>
                              <w:color w:val="auto"/>
                              <w:spacing w:val="10"/>
                              <w:kern w:val="28"/>
                              <w:sz w:val="36"/>
                              <w:szCs w:val="36"/>
                              <w:lang w:val="en-US" w:bidi="en-US"/>
                            </w:rPr>
                            <w:t>Schedule d</w:t>
                          </w:r>
                          <w:r w:rsidR="004318B1">
                            <w:rPr>
                              <w:rFonts w:eastAsia="MS Mincho"/>
                              <w:color w:val="auto"/>
                              <w:spacing w:val="10"/>
                              <w:kern w:val="28"/>
                              <w:sz w:val="36"/>
                              <w:szCs w:val="36"/>
                              <w:lang w:val="en-US" w:bidi="en-US"/>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74788FFC" w:rsidR="004318B1" w:rsidRPr="00485800" w:rsidRDefault="004318B1" w:rsidP="00D15A65">
                          <w:pPr>
                            <w:pStyle w:val="Heading2"/>
                            <w:numPr>
                              <w:ilvl w:val="0"/>
                              <w:numId w:val="0"/>
                            </w:numPr>
                            <w:ind w:left="357" w:right="496"/>
                            <w:jc w:val="right"/>
                            <w:rPr>
                              <w:color w:val="F79220"/>
                            </w:rPr>
                          </w:pPr>
                          <w:proofErr w:type="spellStart"/>
                          <w:r>
                            <w:rPr>
                              <w:color w:val="F79220"/>
                            </w:rPr>
                            <w:t>SIPLink</w:t>
                          </w:r>
                          <w:proofErr w:type="spellEnd"/>
                          <w:r>
                            <w:rPr>
                              <w:color w:val="F79220"/>
                            </w:rPr>
                            <w:t xml:space="preserve"> (Node4’s SIP Trunk Service)</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318B1" w:rsidRPr="00F00C3F" w:rsidRDefault="004318B1"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318B1" w:rsidRPr="00F00C3F" w:rsidRDefault="004318B1"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5BF3A3CC" w:rsidR="004318B1" w:rsidRPr="00F00C3F" w:rsidRDefault="004318B1" w:rsidP="00A04071">
                          <w:pPr>
                            <w:ind w:right="496"/>
                            <w:jc w:val="right"/>
                            <w:rPr>
                              <w:rStyle w:val="Emphasis"/>
                              <w:rFonts w:cs="Arial"/>
                              <w:b w:val="0"/>
                            </w:rPr>
                          </w:pPr>
                          <w:r>
                            <w:rPr>
                              <w:rStyle w:val="Emphasis"/>
                              <w:rFonts w:cs="Arial"/>
                              <w:b w:val="0"/>
                            </w:rPr>
                            <w:t>28/</w:t>
                          </w:r>
                          <w:r w:rsidRPr="00F00C3F">
                            <w:rPr>
                              <w:rStyle w:val="Emphasis"/>
                              <w:rFonts w:cs="Arial"/>
                              <w:b w:val="0"/>
                            </w:rPr>
                            <w:t>0</w:t>
                          </w:r>
                          <w:r>
                            <w:rPr>
                              <w:rStyle w:val="Emphasis"/>
                              <w:rFonts w:cs="Arial"/>
                              <w:b w:val="0"/>
                            </w:rPr>
                            <w:t>7/2017</w:t>
                          </w:r>
                        </w:p>
                      </w:sdtContent>
                    </w:sdt>
                    <w:p w14:paraId="5AB4E343" w14:textId="77777777" w:rsidR="004318B1" w:rsidRDefault="004318B1" w:rsidP="00A04071">
                      <w:pPr>
                        <w:jc w:val="right"/>
                      </w:pPr>
                    </w:p>
                  </w:txbxContent>
                </v:textbox>
                <w10:wrap type="square"/>
              </v:shape>
            </w:pict>
          </mc:Fallback>
        </mc:AlternateContent>
      </w:r>
      <w:r w:rsidR="00A04071">
        <w:br w:type="page"/>
      </w:r>
    </w:p>
    <w:p w14:paraId="13F52115" w14:textId="3C701ADF" w:rsidR="00600920" w:rsidRDefault="00115DD3" w:rsidP="002B49F2">
      <w:pPr>
        <w:pStyle w:val="Heading1"/>
      </w:pPr>
      <w:r>
        <w:lastRenderedPageBreak/>
        <w:t>Schedule d</w:t>
      </w:r>
      <w:r w:rsidR="002B49F2">
        <w:t xml:space="preserve">ocument </w:t>
      </w:r>
    </w:p>
    <w:p w14:paraId="067679F7" w14:textId="5487D15D" w:rsidR="002B49F2" w:rsidRPr="002B49F2" w:rsidRDefault="007D28E9" w:rsidP="00FB1AA9">
      <w:pPr>
        <w:pStyle w:val="Heading2"/>
        <w:numPr>
          <w:ilvl w:val="0"/>
          <w:numId w:val="0"/>
        </w:numPr>
        <w:ind w:left="357" w:hanging="357"/>
        <w:jc w:val="left"/>
      </w:pPr>
      <w:proofErr w:type="spellStart"/>
      <w:r>
        <w:t>SIPLink</w:t>
      </w:r>
      <w:proofErr w:type="spellEnd"/>
      <w:r w:rsidR="00FB1AA9">
        <w:t xml:space="preserve"> (Node4’s SIP Trunk Service)</w:t>
      </w:r>
    </w:p>
    <w:p w14:paraId="3FB60A9D" w14:textId="19C54DEA" w:rsidR="000A1B1D" w:rsidRDefault="000A1B1D" w:rsidP="00797E34">
      <w:r>
        <w:t xml:space="preserve">This schedule contains additional terms and conditions, service description &amp; Service Levels applicable to the </w:t>
      </w:r>
      <w:proofErr w:type="spellStart"/>
      <w:r>
        <w:t>SIP</w:t>
      </w:r>
      <w:r w:rsidR="00FB1AA9">
        <w:t>L</w:t>
      </w:r>
      <w:r>
        <w:t>ink</w:t>
      </w:r>
      <w:proofErr w:type="spellEnd"/>
      <w:r>
        <w:t xml:space="preserve"> service and should be viewed with associated Order Form, Node4’s General Terms and Conditions and the Acceptable Use Policy.</w:t>
      </w:r>
    </w:p>
    <w:p w14:paraId="15C01087" w14:textId="569A2ADD" w:rsidR="000A1B1D" w:rsidRPr="000A1B1D" w:rsidRDefault="000A1B1D" w:rsidP="00FB1AA9">
      <w:pPr>
        <w:pStyle w:val="Heading2"/>
      </w:pPr>
      <w:r>
        <w:t xml:space="preserve">Overview </w:t>
      </w:r>
    </w:p>
    <w:p w14:paraId="56971FAC" w14:textId="415CA3E7" w:rsidR="00B4571D" w:rsidRDefault="00B4571D" w:rsidP="00B4571D">
      <w:r>
        <w:t xml:space="preserve">The Node4 </w:t>
      </w:r>
      <w:proofErr w:type="spellStart"/>
      <w:r w:rsidR="00FB1AA9">
        <w:t>SIPLink</w:t>
      </w:r>
      <w:proofErr w:type="spellEnd"/>
      <w:r>
        <w:t xml:space="preserve"> service provides the Customer with the ability to make and receive </w:t>
      </w:r>
      <w:proofErr w:type="spellStart"/>
      <w:r>
        <w:t>PSTN</w:t>
      </w:r>
      <w:proofErr w:type="spellEnd"/>
      <w:r>
        <w:t xml:space="preserve"> calls over an IP connection using standards-based SIP signalling.</w:t>
      </w:r>
    </w:p>
    <w:p w14:paraId="53545AE9" w14:textId="61A82A5F" w:rsidR="00B4571D" w:rsidRPr="000A1B1D" w:rsidRDefault="00B4571D" w:rsidP="00FB1AA9">
      <w:pPr>
        <w:pStyle w:val="Heading2"/>
      </w:pPr>
      <w:r>
        <w:t xml:space="preserve">Definitions </w:t>
      </w:r>
    </w:p>
    <w:p w14:paraId="3FE02986" w14:textId="77777777" w:rsidR="00B4571D" w:rsidRDefault="00B4571D" w:rsidP="00797E34">
      <w:r>
        <w:t xml:space="preserve">In addition to the definitions set out in the General Terms and Conditions, the following definitions shall apply to this Service Schedule: </w:t>
      </w:r>
    </w:p>
    <w:p w14:paraId="15124E1B" w14:textId="77777777" w:rsidR="00B4571D" w:rsidRDefault="00B4571D" w:rsidP="00797E34">
      <w:r w:rsidRPr="00B4571D">
        <w:rPr>
          <w:b/>
        </w:rPr>
        <w:t>“Call”</w:t>
      </w:r>
      <w:r>
        <w:t xml:space="preserve"> means a voice call initiated by the Customer using the service; </w:t>
      </w:r>
    </w:p>
    <w:p w14:paraId="2CE40A0C" w14:textId="77777777" w:rsidR="00B4571D" w:rsidRDefault="00B4571D" w:rsidP="00797E34">
      <w:r w:rsidRPr="00B4571D">
        <w:rPr>
          <w:b/>
        </w:rPr>
        <w:t>“CDR”</w:t>
      </w:r>
      <w:r>
        <w:t xml:space="preserve"> means Call Detail Records, which are details of calls made via the platform; </w:t>
      </w:r>
    </w:p>
    <w:p w14:paraId="2AA6F327" w14:textId="77777777" w:rsidR="00B4571D" w:rsidRDefault="00B4571D" w:rsidP="00797E34">
      <w:r w:rsidRPr="00B4571D">
        <w:rPr>
          <w:b/>
        </w:rPr>
        <w:t>“Channel Charges”</w:t>
      </w:r>
      <w:r>
        <w:t xml:space="preserve"> means charges calculated on a per-channel basis at the monthly rental rates detailed in the Order Form. For clarity a channel is a concurrent call allowance and is sometimes referred to as a SIP trunk</w:t>
      </w:r>
      <w:proofErr w:type="gramStart"/>
      <w:r>
        <w:t>.“</w:t>
      </w:r>
      <w:proofErr w:type="gramEnd"/>
      <w:r>
        <w:t xml:space="preserve"> </w:t>
      </w:r>
    </w:p>
    <w:p w14:paraId="3F3EBBC0" w14:textId="0337FF9E" w:rsidR="00B4571D" w:rsidRDefault="00B4571D" w:rsidP="00797E34">
      <w:r w:rsidRPr="00B4571D">
        <w:rPr>
          <w:b/>
        </w:rPr>
        <w:t xml:space="preserve">“Calls </w:t>
      </w:r>
      <w:proofErr w:type="gramStart"/>
      <w:r w:rsidRPr="00B4571D">
        <w:rPr>
          <w:b/>
        </w:rPr>
        <w:t>Per</w:t>
      </w:r>
      <w:proofErr w:type="gramEnd"/>
      <w:r w:rsidRPr="00B4571D">
        <w:rPr>
          <w:b/>
        </w:rPr>
        <w:t xml:space="preserve"> Second”</w:t>
      </w:r>
      <w:r>
        <w:t xml:space="preserve"> or </w:t>
      </w:r>
      <w:r w:rsidRPr="00B4571D">
        <w:rPr>
          <w:b/>
        </w:rPr>
        <w:t>“CPS”</w:t>
      </w:r>
      <w:r>
        <w:t xml:space="preserve"> is the number of call attempts received by the </w:t>
      </w:r>
      <w:proofErr w:type="spellStart"/>
      <w:r w:rsidR="00FB1AA9">
        <w:t>SIPLink</w:t>
      </w:r>
      <w:proofErr w:type="spellEnd"/>
      <w:r>
        <w:t xml:space="preserve"> platform in one second. A call attempt is a SIP INVITE message relating to a new session </w:t>
      </w:r>
    </w:p>
    <w:p w14:paraId="2151E961" w14:textId="77777777" w:rsidR="00B4571D" w:rsidRDefault="00B4571D" w:rsidP="00797E34">
      <w:r w:rsidRPr="00B4571D">
        <w:rPr>
          <w:b/>
        </w:rPr>
        <w:t>“</w:t>
      </w:r>
      <w:proofErr w:type="spellStart"/>
      <w:r w:rsidRPr="00B4571D">
        <w:rPr>
          <w:b/>
        </w:rPr>
        <w:t>EndpPoint</w:t>
      </w:r>
      <w:proofErr w:type="spellEnd"/>
      <w:r w:rsidRPr="00B4571D">
        <w:rPr>
          <w:b/>
        </w:rPr>
        <w:t>”</w:t>
      </w:r>
      <w:r>
        <w:t xml:space="preserve"> means a Customer SIP device which is identified as either a unique IP address or a Node4 provided username and password; </w:t>
      </w:r>
    </w:p>
    <w:p w14:paraId="54A0C5BE" w14:textId="77777777" w:rsidR="00B4571D" w:rsidRDefault="00B4571D" w:rsidP="00797E34">
      <w:r w:rsidRPr="00B4571D">
        <w:rPr>
          <w:b/>
        </w:rPr>
        <w:t>“End-User”</w:t>
      </w:r>
      <w:r>
        <w:t xml:space="preserve"> according to the context, either a person who is seeking to contract with the Customer for the purchase of Services and / or Products, or a person who has contracted with the Customer for Services and / or Products. </w:t>
      </w:r>
    </w:p>
    <w:p w14:paraId="3B83D5E3" w14:textId="77777777" w:rsidR="00B4571D" w:rsidRDefault="00B4571D" w:rsidP="00797E34">
      <w:r w:rsidRPr="00B4571D">
        <w:rPr>
          <w:b/>
        </w:rPr>
        <w:t>“Fault Ticket Number”</w:t>
      </w:r>
      <w:r>
        <w:t xml:space="preserve"> means the unique number issued when logging a fault with Node4; </w:t>
      </w:r>
    </w:p>
    <w:p w14:paraId="68BCB1AE" w14:textId="7AA093E9" w:rsidR="00B4571D" w:rsidRDefault="00B4571D" w:rsidP="00797E34">
      <w:r w:rsidRPr="00B4571D">
        <w:rPr>
          <w:b/>
        </w:rPr>
        <w:t xml:space="preserve">“Installation Fee” </w:t>
      </w:r>
      <w:r>
        <w:t xml:space="preserve">means charges payable by the Customer for the installation of the </w:t>
      </w:r>
      <w:proofErr w:type="spellStart"/>
      <w:r w:rsidR="00FB1AA9">
        <w:t>SIPLink</w:t>
      </w:r>
      <w:proofErr w:type="spellEnd"/>
      <w:r>
        <w:t xml:space="preserve"> element of the service as provided in the Order Form; </w:t>
      </w:r>
    </w:p>
    <w:p w14:paraId="5C2BB440" w14:textId="77777777" w:rsidR="00B4571D" w:rsidRDefault="00B4571D" w:rsidP="00797E34">
      <w:r w:rsidRPr="00B4571D">
        <w:rPr>
          <w:b/>
        </w:rPr>
        <w:t>“Monthly Review Period”</w:t>
      </w:r>
      <w:r>
        <w:t xml:space="preserve"> means the calendar monthly periods commencing on the 1st of each month during the Term, over which Service performance measurements are calculated, provided that the first Monthly Review Period will commence following the Ready For Service Notification; </w:t>
      </w:r>
    </w:p>
    <w:p w14:paraId="38CF3B63" w14:textId="77777777" w:rsidR="00B4571D" w:rsidRDefault="00B4571D" w:rsidP="00797E34">
      <w:r w:rsidRPr="00B4571D">
        <w:rPr>
          <w:b/>
        </w:rPr>
        <w:t xml:space="preserve">“Network Management System” </w:t>
      </w:r>
      <w:r>
        <w:t xml:space="preserve">means Node4’s network integrated fault management system; </w:t>
      </w:r>
    </w:p>
    <w:p w14:paraId="37F652AC" w14:textId="77777777" w:rsidR="00B4571D" w:rsidRDefault="00B4571D" w:rsidP="00797E34">
      <w:r w:rsidRPr="00B4571D">
        <w:rPr>
          <w:b/>
        </w:rPr>
        <w:t>“Network Operations Centre”</w:t>
      </w:r>
      <w:r>
        <w:t xml:space="preserve"> means Node4’s fault management centre, which operates the Node4 Network Management System; </w:t>
      </w:r>
    </w:p>
    <w:p w14:paraId="2B033E57" w14:textId="367B6C4B" w:rsidR="00B4571D" w:rsidRDefault="00B4571D" w:rsidP="00797E34">
      <w:r w:rsidRPr="00B4571D">
        <w:rPr>
          <w:b/>
        </w:rPr>
        <w:t>“Node4 Network”</w:t>
      </w:r>
      <w:r>
        <w:t xml:space="preserve"> means the network wholly owned and managed by Node4; </w:t>
      </w:r>
    </w:p>
    <w:p w14:paraId="2E7850D1" w14:textId="77777777" w:rsidR="00B4571D" w:rsidRDefault="00B4571D" w:rsidP="00797E34">
      <w:r w:rsidRPr="00B4571D">
        <w:rPr>
          <w:b/>
        </w:rPr>
        <w:t>“Number Management”</w:t>
      </w:r>
      <w:r>
        <w:t xml:space="preserve"> means any services provided by Node4 for the Routing, translation or definition of telephony number ranges; </w:t>
      </w:r>
    </w:p>
    <w:p w14:paraId="038414E7" w14:textId="4DDDC9AC" w:rsidR="00B4571D" w:rsidRDefault="00B4571D" w:rsidP="00797E34">
      <w:r w:rsidRPr="00B4571D">
        <w:rPr>
          <w:b/>
        </w:rPr>
        <w:t>“Payphone Access Charges”</w:t>
      </w:r>
      <w:r>
        <w:t xml:space="preserve"> or </w:t>
      </w:r>
      <w:r w:rsidRPr="00B4571D">
        <w:rPr>
          <w:b/>
        </w:rPr>
        <w:t>“PAC”</w:t>
      </w:r>
      <w:r>
        <w:t xml:space="preserve"> are charges applied by telephony providers for calls made to </w:t>
      </w:r>
      <w:proofErr w:type="spellStart"/>
      <w:r>
        <w:t>freephone</w:t>
      </w:r>
      <w:proofErr w:type="spellEnd"/>
      <w:r>
        <w:t xml:space="preserve"> (</w:t>
      </w:r>
      <w:r w:rsidR="00FB1AA9">
        <w:t>e.g.</w:t>
      </w:r>
      <w:r>
        <w:t xml:space="preserve"> 0800, 0808, </w:t>
      </w:r>
      <w:proofErr w:type="gramStart"/>
      <w:r>
        <w:t>0500</w:t>
      </w:r>
      <w:proofErr w:type="gramEnd"/>
      <w:r>
        <w:t xml:space="preserve">) numbers from public payphones; </w:t>
      </w:r>
    </w:p>
    <w:p w14:paraId="32F8134C" w14:textId="77777777" w:rsidR="00B4571D" w:rsidRDefault="00B4571D" w:rsidP="00797E34">
      <w:r w:rsidRPr="00B4571D">
        <w:rPr>
          <w:b/>
        </w:rPr>
        <w:t>“Planned Outage”</w:t>
      </w:r>
      <w:r>
        <w:t xml:space="preserve"> means a temporary outage in service required for maintenance and support purposes of which Node4 has given the Customer reasonable prior notice. Wherever reasonably practicable Node4 will agree the amount of outage with the Customer in advance of the required work. Any Planned Outage shall not be included in fault </w:t>
      </w:r>
      <w:proofErr w:type="gramStart"/>
      <w:r>
        <w:t>measurements</w:t>
      </w:r>
      <w:proofErr w:type="gramEnd"/>
      <w:r>
        <w:t xml:space="preserve"> and does not qualify for service credits or compensation. </w:t>
      </w:r>
    </w:p>
    <w:p w14:paraId="5F9AD18F" w14:textId="77777777" w:rsidR="00B4571D" w:rsidRDefault="00B4571D" w:rsidP="00797E34">
      <w:r w:rsidRPr="00B4571D">
        <w:rPr>
          <w:b/>
        </w:rPr>
        <w:t>“Professional Service Fees”</w:t>
      </w:r>
      <w:r>
        <w:t xml:space="preserve"> means the professional service charges detailed on the Order Form or otherwise agreed in writing between the parties; </w:t>
      </w:r>
    </w:p>
    <w:p w14:paraId="0C917D5B" w14:textId="516632FD" w:rsidR="00797E34" w:rsidRDefault="00B4571D" w:rsidP="00797E34">
      <w:r w:rsidRPr="00B4571D">
        <w:rPr>
          <w:b/>
        </w:rPr>
        <w:t>“Routing”</w:t>
      </w:r>
      <w:r>
        <w:t xml:space="preserve"> means the ability to redirect voice traffic streams between different terminating networks;</w:t>
      </w:r>
    </w:p>
    <w:p w14:paraId="58BEFE28" w14:textId="3229341A" w:rsidR="00B4571D" w:rsidRDefault="00B4571D" w:rsidP="00797E34"/>
    <w:p w14:paraId="6E99A9C8" w14:textId="77777777" w:rsidR="00B4571D" w:rsidRDefault="00B4571D" w:rsidP="00797E34">
      <w:r w:rsidRPr="00B4571D">
        <w:rPr>
          <w:b/>
        </w:rPr>
        <w:lastRenderedPageBreak/>
        <w:t>“Second Based Usage Charges”</w:t>
      </w:r>
      <w:r>
        <w:t xml:space="preserve"> means charges based on per-second usage relating to Successful Calls as detailed in the Call Tariff which is identified in the Order Form; </w:t>
      </w:r>
    </w:p>
    <w:p w14:paraId="36A359AC" w14:textId="77777777" w:rsidR="00B4571D" w:rsidRDefault="00B4571D" w:rsidP="00797E34">
      <w:r w:rsidRPr="00B4571D">
        <w:rPr>
          <w:b/>
        </w:rPr>
        <w:t>“Service Availability”</w:t>
      </w:r>
      <w:r>
        <w:t xml:space="preserve"> means the time for which a Node4 Service is usable, expressed as a percentage of the total time in a given Service Measurement Period. The Node4 service shall be deemed available for the purposes of calculating Service Availability if it is not usable due to an event outside Node4’s reasonable control, a Customer Responsible Fault, a Third Party Attributable Fault or is due to a Planned Outage. </w:t>
      </w:r>
    </w:p>
    <w:p w14:paraId="180877A6" w14:textId="3BE5D262" w:rsidR="00B4571D" w:rsidRDefault="00B4571D" w:rsidP="00797E34">
      <w:r w:rsidRPr="00B4571D">
        <w:rPr>
          <w:b/>
        </w:rPr>
        <w:t>“</w:t>
      </w:r>
      <w:proofErr w:type="spellStart"/>
      <w:r w:rsidR="00FB1AA9">
        <w:rPr>
          <w:b/>
        </w:rPr>
        <w:t>SIPLink</w:t>
      </w:r>
      <w:proofErr w:type="spellEnd"/>
      <w:r w:rsidRPr="00B4571D">
        <w:rPr>
          <w:b/>
        </w:rPr>
        <w:t xml:space="preserve"> Customer Questionnaire” </w:t>
      </w:r>
      <w:r>
        <w:t xml:space="preserve">is the data collection document that is sent to the Customer for completion prior to </w:t>
      </w:r>
      <w:proofErr w:type="spellStart"/>
      <w:r w:rsidR="00FB1AA9">
        <w:t>SIPLink</w:t>
      </w:r>
      <w:proofErr w:type="spellEnd"/>
      <w:r>
        <w:t xml:space="preserve"> service setup. This document provides the Node4 provisioning staff with details to enable them to setup a new </w:t>
      </w:r>
      <w:proofErr w:type="spellStart"/>
      <w:r w:rsidR="00FB1AA9">
        <w:t>SIPLink</w:t>
      </w:r>
      <w:proofErr w:type="spellEnd"/>
      <w:r>
        <w:t xml:space="preserve"> Endpoint; </w:t>
      </w:r>
    </w:p>
    <w:p w14:paraId="74C46D93" w14:textId="77777777" w:rsidR="00B4571D" w:rsidRDefault="00B4571D" w:rsidP="00797E34">
      <w:r w:rsidRPr="00B4571D">
        <w:rPr>
          <w:b/>
        </w:rPr>
        <w:t>“Standard MAC”</w:t>
      </w:r>
      <w:r>
        <w:t xml:space="preserve"> means a change to one device which can be completed within 30 minutes by a technical support engineer between 7am and 7pm Monday to Friday. </w:t>
      </w:r>
    </w:p>
    <w:p w14:paraId="2C38F30F" w14:textId="77777777" w:rsidR="00B4571D" w:rsidRDefault="00B4571D" w:rsidP="00797E34">
      <w:r w:rsidRPr="00B4571D">
        <w:rPr>
          <w:b/>
        </w:rPr>
        <w:t xml:space="preserve">“Successful Call” </w:t>
      </w:r>
      <w:r>
        <w:t xml:space="preserve">means a Call which has established a voice path and therefore has billable duration; </w:t>
      </w:r>
    </w:p>
    <w:p w14:paraId="3C98FD60" w14:textId="77777777" w:rsidR="00B4571D" w:rsidRDefault="00B4571D" w:rsidP="00797E34">
      <w:r w:rsidRPr="00B4571D">
        <w:rPr>
          <w:b/>
        </w:rPr>
        <w:t>“Third Party Attributable Faults”</w:t>
      </w:r>
      <w:r>
        <w:t xml:space="preserve"> means a fault which is attributable to a third party. Such faults do not qualify for service credits or compensation. Node4 will use its reasonable endeavours to resolve and rectify such Third Party Attributable Faults as soon as reasonably practicable; </w:t>
      </w:r>
    </w:p>
    <w:p w14:paraId="71C08EAD" w14:textId="543D3094" w:rsidR="00B4571D" w:rsidRDefault="00B4571D" w:rsidP="00797E34">
      <w:r w:rsidRPr="00B4571D">
        <w:rPr>
          <w:b/>
        </w:rPr>
        <w:t xml:space="preserve">“Time </w:t>
      </w:r>
      <w:proofErr w:type="gramStart"/>
      <w:r w:rsidRPr="00B4571D">
        <w:rPr>
          <w:b/>
        </w:rPr>
        <w:t>To</w:t>
      </w:r>
      <w:proofErr w:type="gramEnd"/>
      <w:r w:rsidRPr="00B4571D">
        <w:rPr>
          <w:b/>
        </w:rPr>
        <w:t xml:space="preserve"> Resolve Fault (</w:t>
      </w:r>
      <w:proofErr w:type="spellStart"/>
      <w:r w:rsidRPr="00B4571D">
        <w:rPr>
          <w:b/>
        </w:rPr>
        <w:t>TTRF</w:t>
      </w:r>
      <w:proofErr w:type="spellEnd"/>
      <w:r w:rsidRPr="00B4571D">
        <w:rPr>
          <w:b/>
        </w:rPr>
        <w:t>)”</w:t>
      </w:r>
      <w:r>
        <w:t xml:space="preserve"> means the length of time from the issue of the Fault Ticket Number to repair and resolution of the fault;</w:t>
      </w:r>
    </w:p>
    <w:p w14:paraId="37C77557" w14:textId="3403949E" w:rsidR="00B4571D" w:rsidRPr="00CB1ECE" w:rsidRDefault="00115DD3" w:rsidP="00FB1AA9">
      <w:pPr>
        <w:pStyle w:val="Heading2"/>
      </w:pPr>
      <w:r>
        <w:t>Specific t</w:t>
      </w:r>
      <w:r w:rsidR="00B4571D" w:rsidRPr="00CB1ECE">
        <w:t xml:space="preserve">erms </w:t>
      </w:r>
    </w:p>
    <w:p w14:paraId="2EA6F2CF" w14:textId="6A247C6A" w:rsidR="00D20D1D" w:rsidRDefault="00D20D1D" w:rsidP="00B4571D">
      <w:r>
        <w:t xml:space="preserve">The following terms and conditions shall apply when Node4 provides </w:t>
      </w:r>
      <w:proofErr w:type="spellStart"/>
      <w:r w:rsidR="00FB1AA9">
        <w:t>SIPLink</w:t>
      </w:r>
      <w:proofErr w:type="spellEnd"/>
      <w:r>
        <w:t xml:space="preserve"> Services to the Customer.</w:t>
      </w:r>
    </w:p>
    <w:p w14:paraId="79C5CA10" w14:textId="747711D7" w:rsidR="00D20D1D" w:rsidRDefault="00FB1AA9" w:rsidP="00FB1AA9">
      <w:pPr>
        <w:pStyle w:val="Heading3"/>
      </w:pPr>
      <w:r>
        <w:t xml:space="preserve"> </w:t>
      </w:r>
      <w:r w:rsidR="00D20D1D" w:rsidRPr="00D20D1D">
        <w:t xml:space="preserve">Fraud and </w:t>
      </w:r>
      <w:r w:rsidR="00115DD3">
        <w:t>s</w:t>
      </w:r>
      <w:r w:rsidR="00D20D1D" w:rsidRPr="00D20D1D">
        <w:t xml:space="preserve">ecurity  </w:t>
      </w:r>
    </w:p>
    <w:p w14:paraId="7FFBF153" w14:textId="03AC441C" w:rsidR="00D20D1D" w:rsidRDefault="00D20D1D" w:rsidP="00D20D1D">
      <w:r>
        <w:t xml:space="preserve">It is the Customer’s responsibility to ensure that any telephony systems that are used to connect to the </w:t>
      </w:r>
      <w:proofErr w:type="spellStart"/>
      <w:r w:rsidR="00FB1AA9">
        <w:t>SIPLink</w:t>
      </w:r>
      <w:proofErr w:type="spellEnd"/>
      <w:r>
        <w:t xml:space="preserve"> platform are adequately protected from fraudulent use by any Third Parties.</w:t>
      </w:r>
    </w:p>
    <w:p w14:paraId="37CA8F56" w14:textId="77777777" w:rsidR="00CB1ECE" w:rsidRDefault="00D20D1D" w:rsidP="00D20D1D">
      <w:r>
        <w:t xml:space="preserve">We would strongly suggest that Customers implement a balance alert via the Node4 Customer Portal. This will send an email alert should a predetermined balance (configured by the Customer) be reached. </w:t>
      </w:r>
    </w:p>
    <w:p w14:paraId="4FE6E95F" w14:textId="77777777" w:rsidR="00CB1ECE" w:rsidRDefault="00D20D1D" w:rsidP="00D20D1D">
      <w:r>
        <w:t xml:space="preserve">Should any fraudulent activity occur we would suggest that the Customer disconnects their telephony equipment from the IP network immediately until the security breach is identified and resolved. In addition, the Customer should notify Node4 and ask for their account to be temporarily disabled. </w:t>
      </w:r>
    </w:p>
    <w:p w14:paraId="04DDD083" w14:textId="77777777" w:rsidR="00CB1ECE" w:rsidRDefault="00D20D1D" w:rsidP="00D20D1D">
      <w:r>
        <w:t xml:space="preserve">Any fraud or other improper use of the service shall not relieve the Customer of its payment obligation to Node4. </w:t>
      </w:r>
    </w:p>
    <w:p w14:paraId="148FFC90" w14:textId="3F577FFE" w:rsidR="00D20D1D" w:rsidRDefault="00D20D1D" w:rsidP="00CB1ECE">
      <w:r>
        <w:t xml:space="preserve">Node4 would strongly suggest that Customers read the </w:t>
      </w:r>
      <w:proofErr w:type="spellStart"/>
      <w:r>
        <w:t>ITSPA</w:t>
      </w:r>
      <w:proofErr w:type="spellEnd"/>
      <w:r>
        <w:t xml:space="preserve"> Best Practice guide for deploying an </w:t>
      </w:r>
      <w:proofErr w:type="spellStart"/>
      <w:r>
        <w:t>IPPBX</w:t>
      </w:r>
      <w:proofErr w:type="spellEnd"/>
      <w:r>
        <w:t xml:space="preserve"> prior to commissioning any telephony systems that connect to </w:t>
      </w:r>
      <w:proofErr w:type="spellStart"/>
      <w:r w:rsidR="00FB1AA9">
        <w:t>SIPLink</w:t>
      </w:r>
      <w:proofErr w:type="spellEnd"/>
      <w:r>
        <w:t xml:space="preserve">. This document can be found at </w:t>
      </w:r>
      <w:r w:rsidRPr="00CB1ECE">
        <w:rPr>
          <w:color w:val="F79220"/>
        </w:rPr>
        <w:t>http://www.itspa.org.uk/bestpractice.shtml</w:t>
      </w:r>
      <w:r>
        <w:t xml:space="preserve"> or on Node4’s website.</w:t>
      </w:r>
    </w:p>
    <w:p w14:paraId="1043D49F" w14:textId="1796A2E4" w:rsidR="00CB1ECE" w:rsidRDefault="00FB1AA9" w:rsidP="00FB1AA9">
      <w:pPr>
        <w:pStyle w:val="Heading3"/>
      </w:pPr>
      <w:r>
        <w:t xml:space="preserve"> </w:t>
      </w:r>
      <w:r w:rsidR="00115DD3">
        <w:t>Fraudulent c</w:t>
      </w:r>
      <w:r w:rsidR="00CB1ECE">
        <w:t xml:space="preserve">alls </w:t>
      </w:r>
    </w:p>
    <w:p w14:paraId="1686CB51" w14:textId="77777777" w:rsidR="00CB1ECE" w:rsidRDefault="00CB1ECE" w:rsidP="00CB1ECE">
      <w:r>
        <w:t xml:space="preserve">Customer acknowledges that if any party accesses Node4 Services via Customer equipment either with or without Customers authority and any Fraudulent Activity is made by such party, the Customer is solely liable to pay the Charges arising in connection with any such Fraudulent Activity. </w:t>
      </w:r>
    </w:p>
    <w:p w14:paraId="4CEF821B" w14:textId="6EAEDA9D" w:rsidR="00CB1ECE" w:rsidRDefault="00CB1ECE" w:rsidP="00CB1ECE">
      <w:r>
        <w:t xml:space="preserve">The Customer agrees to fully reimburse Node4 for any call costs incurred by Node4 arising from any such Fraudulent Activity. </w:t>
      </w:r>
    </w:p>
    <w:p w14:paraId="2C6ADE9B" w14:textId="4505A562" w:rsidR="00CB1ECE" w:rsidRDefault="00CB1ECE" w:rsidP="00CB1ECE">
      <w:pPr>
        <w:rPr>
          <w:color w:val="F79220"/>
          <w:sz w:val="24"/>
          <w:szCs w:val="24"/>
        </w:rPr>
      </w:pPr>
      <w:r>
        <w:t>Notwithstanding the above, Node4 shall undertake reasonable diligence and care should Node4 be alerted to any Fraudulent Activity. Node4 shall promptly notify the Customer of any reasonable suspicions which Node4 may have which shall be based purely on noticing a spike in any of the Customer’s traffic but the Customer acknowledges and accepts that any such notification will be based on Fraudulent Activity already undertaken and therefore the above will be enforced by Node4.</w:t>
      </w:r>
      <w:r w:rsidRPr="00D20D1D">
        <w:rPr>
          <w:color w:val="F79220"/>
          <w:sz w:val="24"/>
          <w:szCs w:val="24"/>
        </w:rPr>
        <w:t xml:space="preserve">  </w:t>
      </w:r>
    </w:p>
    <w:p w14:paraId="281E5A7D" w14:textId="23546C81" w:rsidR="00F9538F" w:rsidRDefault="00FB1AA9" w:rsidP="00FB1AA9">
      <w:pPr>
        <w:pStyle w:val="Heading3"/>
      </w:pPr>
      <w:r>
        <w:t xml:space="preserve"> </w:t>
      </w:r>
      <w:r w:rsidR="00115DD3">
        <w:t>Third p</w:t>
      </w:r>
      <w:r w:rsidR="00F9538F">
        <w:t>arties</w:t>
      </w:r>
    </w:p>
    <w:p w14:paraId="0688428E" w14:textId="21D5EDCC" w:rsidR="00F9538F" w:rsidRDefault="00F9538F" w:rsidP="00F9538F">
      <w:r>
        <w:t xml:space="preserve">Node4 shall not be liable in respect of any contract, agreement or relationship that Customer may have </w:t>
      </w:r>
      <w:r>
        <w:lastRenderedPageBreak/>
        <w:t xml:space="preserve">with any third party. If a dispute arises between Customer and a third party involving Node4’s </w:t>
      </w:r>
      <w:proofErr w:type="spellStart"/>
      <w:r w:rsidR="00FB1AA9">
        <w:t>SIPLink</w:t>
      </w:r>
      <w:proofErr w:type="spellEnd"/>
      <w:r>
        <w:t xml:space="preserve"> Service, Node4 shall provide the Customer with reasonable information and assistance (to the extent that such is not adverse to Node4’s interests (at Customer’s expense) in the resolution of such dispute).</w:t>
      </w:r>
    </w:p>
    <w:p w14:paraId="53AD0E12" w14:textId="22245594" w:rsidR="00F9538F" w:rsidRDefault="00632D42" w:rsidP="00F9538F">
      <w:r>
        <w:t xml:space="preserve">For the avoidance of doubt all Fees and sums due to the Customer shall be paid in full by the Customer by the due date notwithstanding that the Customer may not have received payments from its End-User where the services are being resold. Any dispute between the Customer and its End-users is the sole responsibility of the Customer. </w:t>
      </w:r>
    </w:p>
    <w:p w14:paraId="56A5464B" w14:textId="2506EF60" w:rsidR="00632D42" w:rsidRDefault="00FB1AA9" w:rsidP="00FB1AA9">
      <w:pPr>
        <w:pStyle w:val="Heading3"/>
      </w:pPr>
      <w:r>
        <w:t xml:space="preserve"> </w:t>
      </w:r>
      <w:r w:rsidR="00632D42">
        <w:t xml:space="preserve">Minimum </w:t>
      </w:r>
      <w:r w:rsidR="00115DD3">
        <w:t>c</w:t>
      </w:r>
      <w:r w:rsidR="00632D42">
        <w:t xml:space="preserve">all </w:t>
      </w:r>
      <w:r w:rsidR="00115DD3">
        <w:t>s</w:t>
      </w:r>
      <w:r w:rsidR="00632D42">
        <w:t>pend</w:t>
      </w:r>
    </w:p>
    <w:p w14:paraId="5E2C9F6C" w14:textId="77777777" w:rsidR="00632D42" w:rsidRDefault="00632D42" w:rsidP="00632D42">
      <w:r>
        <w:t xml:space="preserve">A minimum monthly call spend will apply as follows: </w:t>
      </w:r>
    </w:p>
    <w:p w14:paraId="057EA209" w14:textId="77777777" w:rsidR="00FB1AA9" w:rsidRDefault="00632D42" w:rsidP="004318B1">
      <w:pPr>
        <w:pStyle w:val="ListParagraph"/>
      </w:pPr>
      <w:r>
        <w:t>Business Tariffs: £10</w:t>
      </w:r>
    </w:p>
    <w:p w14:paraId="32B8D317" w14:textId="77777777" w:rsidR="00FB1AA9" w:rsidRDefault="00632D42" w:rsidP="004318B1">
      <w:pPr>
        <w:pStyle w:val="ListParagraph"/>
      </w:pPr>
      <w:r>
        <w:t>Partner Tariffs: £25</w:t>
      </w:r>
    </w:p>
    <w:p w14:paraId="75B0B568" w14:textId="7786E601" w:rsidR="00632D42" w:rsidRDefault="00632D42" w:rsidP="004318B1">
      <w:pPr>
        <w:pStyle w:val="ListParagraph"/>
      </w:pPr>
      <w:r>
        <w:t xml:space="preserve">Wholesale Tariffs: £100 </w:t>
      </w:r>
    </w:p>
    <w:p w14:paraId="0DB7A6C1" w14:textId="74AA0C6F" w:rsidR="00632D42" w:rsidRDefault="00632D42" w:rsidP="00632D42">
      <w:r>
        <w:t xml:space="preserve">If the call Fees have not exceeded these values by the end of the month then the call Fees will be rounded up to meet the minimum call spend. </w:t>
      </w:r>
    </w:p>
    <w:p w14:paraId="2F60CFAA" w14:textId="2BB3AB09" w:rsidR="00650299" w:rsidRDefault="00FB1AA9" w:rsidP="00FB1AA9">
      <w:pPr>
        <w:pStyle w:val="Heading3"/>
      </w:pPr>
      <w:r>
        <w:t xml:space="preserve"> </w:t>
      </w:r>
      <w:r w:rsidR="00650299">
        <w:t xml:space="preserve">Credit </w:t>
      </w:r>
      <w:r w:rsidR="00115DD3">
        <w:t>l</w:t>
      </w:r>
      <w:r w:rsidR="00650299">
        <w:t>imit</w:t>
      </w:r>
    </w:p>
    <w:p w14:paraId="0084AC5A" w14:textId="77777777" w:rsidR="00650299" w:rsidRDefault="00650299" w:rsidP="00650299">
      <w:r>
        <w:t xml:space="preserve">All customers will be set a credit limit for call spend. An automated email may be sent from the billing system when 80% of the credit limit is reached. If this call spend limit is exceeded then the service may be automatically suspended. If the Customer believes this credit limit will be exceeded then it is important that contact is made with the Node4 Accounts Department to ensure continuation of service. </w:t>
      </w:r>
    </w:p>
    <w:p w14:paraId="1182CBB1" w14:textId="37D4F9EC" w:rsidR="00650299" w:rsidRDefault="00650299" w:rsidP="00650299">
      <w:pPr>
        <w:rPr>
          <w:color w:val="F79220"/>
          <w:sz w:val="24"/>
          <w:szCs w:val="24"/>
        </w:rPr>
      </w:pPr>
      <w:r>
        <w:t xml:space="preserve">It should be noted that call Fees in excess of the credit limit are still payable by the Customer. </w:t>
      </w:r>
    </w:p>
    <w:p w14:paraId="2397569A" w14:textId="525637E4" w:rsidR="00891905" w:rsidRDefault="00FB1AA9" w:rsidP="00FB1AA9">
      <w:pPr>
        <w:pStyle w:val="Heading3"/>
      </w:pPr>
      <w:r>
        <w:t xml:space="preserve"> </w:t>
      </w:r>
      <w:r w:rsidR="00115DD3">
        <w:t>Suspension of s</w:t>
      </w:r>
      <w:r w:rsidR="00891905">
        <w:t>ervice</w:t>
      </w:r>
    </w:p>
    <w:p w14:paraId="20DD0EEA" w14:textId="29DCEBE2" w:rsidR="00891905" w:rsidRDefault="00891905" w:rsidP="00FB1AA9">
      <w:r>
        <w:t xml:space="preserve">Node4 shall be entitled to suspend the </w:t>
      </w:r>
      <w:proofErr w:type="spellStart"/>
      <w:r w:rsidR="00FB1AA9">
        <w:t>SIPLink</w:t>
      </w:r>
      <w:proofErr w:type="spellEnd"/>
      <w:r w:rsidR="00FB1AA9">
        <w:t xml:space="preserve"> </w:t>
      </w:r>
      <w:r>
        <w:t xml:space="preserve">Services where call spend credit limits are exceeded. </w:t>
      </w:r>
    </w:p>
    <w:p w14:paraId="6E97D0E6" w14:textId="5B9B39BE" w:rsidR="00891905" w:rsidRDefault="00FB1AA9" w:rsidP="00FB1AA9">
      <w:pPr>
        <w:pStyle w:val="Heading3"/>
      </w:pPr>
      <w:r>
        <w:t xml:space="preserve"> </w:t>
      </w:r>
      <w:r w:rsidR="00891905">
        <w:t>Rebates</w:t>
      </w:r>
    </w:p>
    <w:p w14:paraId="66788CB2" w14:textId="77777777" w:rsidR="00FB1AA9" w:rsidRDefault="00891905" w:rsidP="00FB1AA9">
      <w:r>
        <w:t xml:space="preserve">Where the Customer takes Services where rebates may be available, Node4 shall pay each rebate to the Customer within 14 days of receipt by Node4 of the amount of such rebate from the relevant network operator. Each rebate shall be calculated according to the duration of Calls to the Service where rebates </w:t>
      </w:r>
      <w:r>
        <w:t>may be available as indicated by Node4’s Equipment and not by any of the Customer’s own or rented apparatus.</w:t>
      </w:r>
    </w:p>
    <w:p w14:paraId="0BB381A6" w14:textId="39BA6953" w:rsidR="00EA7F92" w:rsidRDefault="00EA7F92" w:rsidP="00FB1AA9">
      <w:pPr>
        <w:pStyle w:val="Heading2"/>
      </w:pPr>
      <w:r>
        <w:t>Fees</w:t>
      </w:r>
    </w:p>
    <w:p w14:paraId="7B1B33C2" w14:textId="15E5C5F2" w:rsidR="00EA7F92" w:rsidRDefault="00FB1AA9" w:rsidP="00FB1AA9">
      <w:pPr>
        <w:pStyle w:val="Heading3"/>
      </w:pPr>
      <w:r>
        <w:t xml:space="preserve"> </w:t>
      </w:r>
      <w:r w:rsidR="00115DD3">
        <w:t>Fees payable by the c</w:t>
      </w:r>
      <w:r w:rsidR="00BD048B">
        <w:t xml:space="preserve">ustomer </w:t>
      </w:r>
    </w:p>
    <w:p w14:paraId="4B01B60F" w14:textId="4718C227" w:rsidR="00BD048B" w:rsidRDefault="00BD048B" w:rsidP="00EA7F92">
      <w:pPr>
        <w:ind w:left="-76"/>
      </w:pPr>
      <w:r>
        <w:t xml:space="preserve">Fees will commence when Ready </w:t>
      </w:r>
      <w:proofErr w:type="gramStart"/>
      <w:r>
        <w:t>For</w:t>
      </w:r>
      <w:proofErr w:type="gramEnd"/>
      <w:r>
        <w:t xml:space="preserve"> Service Notification is provided by Node4, this will follow the earlier of either SIP Trunk details being provided or numbering allocation or porting. Fees for </w:t>
      </w:r>
      <w:proofErr w:type="spellStart"/>
      <w:r w:rsidR="00FB1AA9">
        <w:t>SIPLink</w:t>
      </w:r>
      <w:proofErr w:type="spellEnd"/>
      <w:r>
        <w:t xml:space="preserve"> Services may comprise any or all of the following aspects.</w:t>
      </w:r>
    </w:p>
    <w:p w14:paraId="3AA6931D" w14:textId="1614DE8C" w:rsidR="00BD048B" w:rsidRDefault="00FB1AA9" w:rsidP="00FB1AA9">
      <w:pPr>
        <w:pStyle w:val="Heading3"/>
      </w:pPr>
      <w:r>
        <w:t xml:space="preserve"> </w:t>
      </w:r>
      <w:r w:rsidR="00115DD3">
        <w:t>Installation f</w:t>
      </w:r>
      <w:r w:rsidR="00BD048B">
        <w:t xml:space="preserve">ees </w:t>
      </w:r>
    </w:p>
    <w:p w14:paraId="5C8A3586" w14:textId="0ECE92D4" w:rsidR="00BD048B" w:rsidRDefault="00BD048B" w:rsidP="00BD048B">
      <w:pPr>
        <w:ind w:left="-76"/>
      </w:pPr>
      <w:r>
        <w:t xml:space="preserve">Any applicable Installation Fees for the implementation of the </w:t>
      </w:r>
      <w:proofErr w:type="spellStart"/>
      <w:r w:rsidR="00FB1AA9">
        <w:t>SIPLink</w:t>
      </w:r>
      <w:proofErr w:type="spellEnd"/>
      <w:r>
        <w:t xml:space="preserve"> Service shall be detailed on the Order Form.</w:t>
      </w:r>
    </w:p>
    <w:p w14:paraId="33282987" w14:textId="02B74A64" w:rsidR="00BD048B" w:rsidRDefault="00FB1AA9" w:rsidP="00FB1AA9">
      <w:pPr>
        <w:pStyle w:val="Heading3"/>
      </w:pPr>
      <w:r>
        <w:t xml:space="preserve"> </w:t>
      </w:r>
      <w:r w:rsidR="00115DD3">
        <w:t>Channel f</w:t>
      </w:r>
      <w:r w:rsidR="00BD048B">
        <w:t>ees</w:t>
      </w:r>
    </w:p>
    <w:p w14:paraId="536D1B1B" w14:textId="3CE92580" w:rsidR="00BD048B" w:rsidRDefault="00BD048B" w:rsidP="00BD048B">
      <w:pPr>
        <w:ind w:left="-76"/>
      </w:pPr>
      <w:r>
        <w:t>Channel Fees shall be due on a per channel basis and calculated at the monthly rental rates detailed in the Order Form.</w:t>
      </w:r>
    </w:p>
    <w:p w14:paraId="54200FD9" w14:textId="6C912593" w:rsidR="00BD048B" w:rsidRDefault="00FB1AA9" w:rsidP="00FB1AA9">
      <w:pPr>
        <w:pStyle w:val="Heading3"/>
      </w:pPr>
      <w:r>
        <w:t xml:space="preserve"> </w:t>
      </w:r>
      <w:r w:rsidR="00BD048B">
        <w:t xml:space="preserve">Call </w:t>
      </w:r>
      <w:r w:rsidR="00115DD3">
        <w:t>f</w:t>
      </w:r>
      <w:r w:rsidR="00BD048B">
        <w:t>ees</w:t>
      </w:r>
    </w:p>
    <w:p w14:paraId="24FAC0B9" w14:textId="23B031D8" w:rsidR="00BD048B" w:rsidRDefault="00BD048B" w:rsidP="00BD048B">
      <w:pPr>
        <w:ind w:left="-76"/>
      </w:pPr>
      <w:r>
        <w:t xml:space="preserve">Call Fees are payable on a per second basis. These fees are levied on the basis of successful call completions made on any of the Endpoints associated with the Customers </w:t>
      </w:r>
      <w:proofErr w:type="spellStart"/>
      <w:r w:rsidR="00FB1AA9">
        <w:t>SIPLink</w:t>
      </w:r>
      <w:proofErr w:type="spellEnd"/>
      <w:r>
        <w:t xml:space="preserve"> Service. Second based usage Fees shall be subject to a call tariff as detailed on the Order Form.</w:t>
      </w:r>
    </w:p>
    <w:p w14:paraId="2F665A5F" w14:textId="4BC31B65" w:rsidR="00BD048B" w:rsidRDefault="00FB1AA9" w:rsidP="00FB1AA9">
      <w:pPr>
        <w:pStyle w:val="Heading3"/>
      </w:pPr>
      <w:r>
        <w:t xml:space="preserve"> </w:t>
      </w:r>
      <w:r w:rsidR="00115DD3">
        <w:t>Number allocation and porting f</w:t>
      </w:r>
      <w:r w:rsidR="00BD048B">
        <w:t>ees</w:t>
      </w:r>
    </w:p>
    <w:p w14:paraId="6FE7C37E" w14:textId="5748912A" w:rsidR="00BD048B" w:rsidRDefault="00BD048B" w:rsidP="00BD048B">
      <w:pPr>
        <w:ind w:left="-76"/>
      </w:pPr>
      <w:r>
        <w:t xml:space="preserve">Where agreements are in place Node4 can port customers’ existing numbers or allocate new geographic, non-geographic and international numbers for use on </w:t>
      </w:r>
      <w:proofErr w:type="spellStart"/>
      <w:r w:rsidR="00FB1AA9">
        <w:t>SIPLink</w:t>
      </w:r>
      <w:proofErr w:type="spellEnd"/>
      <w:r>
        <w:t xml:space="preserve"> services. Fees for number set-up and porting are identified on the Order Form.</w:t>
      </w:r>
    </w:p>
    <w:p w14:paraId="6CCB271F" w14:textId="7F0ED9DC" w:rsidR="00BD048B" w:rsidRDefault="00FB1AA9" w:rsidP="00FB1AA9">
      <w:pPr>
        <w:pStyle w:val="Heading3"/>
      </w:pPr>
      <w:r>
        <w:t xml:space="preserve"> </w:t>
      </w:r>
      <w:r w:rsidR="00BD048B">
        <w:t xml:space="preserve">Professional </w:t>
      </w:r>
      <w:r w:rsidR="00115DD3">
        <w:t>services f</w:t>
      </w:r>
      <w:r w:rsidR="00BD048B">
        <w:t>ees</w:t>
      </w:r>
    </w:p>
    <w:p w14:paraId="73AD5524" w14:textId="4B27AE93" w:rsidR="00BD048B" w:rsidRDefault="00BD048B" w:rsidP="00BD048B">
      <w:pPr>
        <w:ind w:left="-76"/>
      </w:pPr>
      <w:r>
        <w:t>Additional tasks undertaken by Node4 at the request of the Customer or activities undertaken by the Customer which require the remote support of Node4 personnel will be charged at the hourly rates shown below.</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399"/>
        <w:gridCol w:w="2400"/>
      </w:tblGrid>
      <w:tr w:rsidR="005868E5" w:rsidRPr="00BC665D" w14:paraId="3A6FA7E4" w14:textId="77777777" w:rsidTr="005868E5">
        <w:trPr>
          <w:trHeight w:val="480"/>
          <w:tblCellSpacing w:w="20" w:type="dxa"/>
        </w:trPr>
        <w:tc>
          <w:tcPr>
            <w:tcW w:w="2339" w:type="dxa"/>
            <w:shd w:val="clear" w:color="auto" w:fill="323232" w:themeFill="text1"/>
            <w:vAlign w:val="bottom"/>
          </w:tcPr>
          <w:p w14:paraId="290441A9" w14:textId="77777777" w:rsidR="005868E5" w:rsidRPr="00713767" w:rsidRDefault="005868E5" w:rsidP="005868E5">
            <w:pPr>
              <w:jc w:val="center"/>
              <w:rPr>
                <w:rFonts w:cs="Arial"/>
                <w:b/>
                <w:color w:val="FFFFFF"/>
                <w:sz w:val="14"/>
                <w:szCs w:val="16"/>
              </w:rPr>
            </w:pPr>
            <w:r w:rsidRPr="00713767">
              <w:rPr>
                <w:rFonts w:cs="Arial"/>
                <w:b/>
                <w:color w:val="FFFFFF"/>
                <w:sz w:val="14"/>
                <w:szCs w:val="16"/>
              </w:rPr>
              <w:t>Time Support Required:</w:t>
            </w:r>
          </w:p>
        </w:tc>
        <w:tc>
          <w:tcPr>
            <w:tcW w:w="2340" w:type="dxa"/>
            <w:shd w:val="clear" w:color="auto" w:fill="323232" w:themeFill="text1"/>
            <w:vAlign w:val="bottom"/>
          </w:tcPr>
          <w:p w14:paraId="2357AEE3" w14:textId="28FEE2B8" w:rsidR="005868E5" w:rsidRPr="00713767" w:rsidRDefault="005868E5" w:rsidP="005868E5">
            <w:pPr>
              <w:jc w:val="center"/>
              <w:rPr>
                <w:rFonts w:cs="Arial"/>
                <w:b/>
                <w:color w:val="FFFFFF"/>
                <w:sz w:val="14"/>
                <w:szCs w:val="16"/>
              </w:rPr>
            </w:pPr>
            <w:r w:rsidRPr="00713767">
              <w:rPr>
                <w:rFonts w:cs="Arial"/>
                <w:b/>
                <w:color w:val="FFFFFF"/>
                <w:sz w:val="14"/>
                <w:szCs w:val="16"/>
              </w:rPr>
              <w:t>Per Hour</w:t>
            </w:r>
            <w:r>
              <w:rPr>
                <w:rFonts w:cs="Arial"/>
                <w:b/>
                <w:color w:val="FFFFFF"/>
                <w:sz w:val="14"/>
                <w:szCs w:val="16"/>
              </w:rPr>
              <w:t xml:space="preserve"> Rate</w:t>
            </w:r>
          </w:p>
        </w:tc>
      </w:tr>
      <w:tr w:rsidR="005868E5" w:rsidRPr="00BC665D" w14:paraId="0C32BB66" w14:textId="77777777" w:rsidTr="005868E5">
        <w:trPr>
          <w:trHeight w:val="474"/>
          <w:tblCellSpacing w:w="20" w:type="dxa"/>
        </w:trPr>
        <w:tc>
          <w:tcPr>
            <w:tcW w:w="2339" w:type="dxa"/>
            <w:shd w:val="clear" w:color="auto" w:fill="ADAFAF" w:themeFill="text2"/>
          </w:tcPr>
          <w:p w14:paraId="6888B4C3" w14:textId="77777777" w:rsidR="005868E5" w:rsidRPr="00713767" w:rsidRDefault="005868E5" w:rsidP="004318B1">
            <w:pPr>
              <w:rPr>
                <w:rFonts w:cs="Arial"/>
                <w:b/>
                <w:sz w:val="14"/>
                <w:szCs w:val="16"/>
              </w:rPr>
            </w:pPr>
            <w:r w:rsidRPr="00713767">
              <w:rPr>
                <w:rFonts w:cs="Arial"/>
                <w:b/>
                <w:sz w:val="14"/>
                <w:szCs w:val="16"/>
              </w:rPr>
              <w:t>Mon – Fri</w:t>
            </w:r>
          </w:p>
          <w:p w14:paraId="5F8B7BFF" w14:textId="77777777" w:rsidR="005868E5" w:rsidRPr="00713767" w:rsidRDefault="005868E5" w:rsidP="004318B1">
            <w:pPr>
              <w:rPr>
                <w:rFonts w:cs="Arial"/>
                <w:b/>
                <w:sz w:val="14"/>
                <w:szCs w:val="16"/>
              </w:rPr>
            </w:pPr>
            <w:r w:rsidRPr="00713767">
              <w:rPr>
                <w:rFonts w:cs="Arial"/>
                <w:b/>
                <w:sz w:val="14"/>
                <w:szCs w:val="16"/>
              </w:rPr>
              <w:lastRenderedPageBreak/>
              <w:t>Business Hours</w:t>
            </w:r>
          </w:p>
        </w:tc>
        <w:tc>
          <w:tcPr>
            <w:tcW w:w="2340" w:type="dxa"/>
            <w:shd w:val="clear" w:color="auto" w:fill="ADAFAF" w:themeFill="text2"/>
          </w:tcPr>
          <w:p w14:paraId="0520D9B4" w14:textId="77777777" w:rsidR="005868E5" w:rsidRPr="00713767" w:rsidRDefault="005868E5" w:rsidP="004318B1">
            <w:pPr>
              <w:jc w:val="center"/>
              <w:rPr>
                <w:rFonts w:cs="Arial"/>
                <w:sz w:val="14"/>
                <w:szCs w:val="16"/>
              </w:rPr>
            </w:pPr>
            <w:r w:rsidRPr="00713767">
              <w:rPr>
                <w:rFonts w:cs="Arial"/>
                <w:sz w:val="14"/>
                <w:szCs w:val="16"/>
              </w:rPr>
              <w:lastRenderedPageBreak/>
              <w:t>£60.00 Per Hour</w:t>
            </w:r>
          </w:p>
        </w:tc>
      </w:tr>
      <w:tr w:rsidR="005868E5" w:rsidRPr="00BC665D" w14:paraId="4724F380" w14:textId="77777777" w:rsidTr="005868E5">
        <w:trPr>
          <w:trHeight w:val="458"/>
          <w:tblCellSpacing w:w="20" w:type="dxa"/>
        </w:trPr>
        <w:tc>
          <w:tcPr>
            <w:tcW w:w="2339" w:type="dxa"/>
          </w:tcPr>
          <w:p w14:paraId="114BEFF4" w14:textId="77777777" w:rsidR="005868E5" w:rsidRPr="00713767" w:rsidRDefault="005868E5" w:rsidP="004318B1">
            <w:pPr>
              <w:jc w:val="left"/>
              <w:rPr>
                <w:rFonts w:cs="Arial"/>
                <w:b/>
                <w:sz w:val="14"/>
                <w:szCs w:val="16"/>
              </w:rPr>
            </w:pPr>
            <w:r w:rsidRPr="00713767">
              <w:rPr>
                <w:rFonts w:cs="Arial"/>
                <w:b/>
                <w:sz w:val="14"/>
                <w:szCs w:val="16"/>
              </w:rPr>
              <w:t>Mon – Fri</w:t>
            </w:r>
          </w:p>
          <w:p w14:paraId="29412A73" w14:textId="77777777" w:rsidR="005868E5" w:rsidRPr="00713767" w:rsidRDefault="005868E5" w:rsidP="004318B1">
            <w:pPr>
              <w:jc w:val="left"/>
              <w:rPr>
                <w:rFonts w:cs="Arial"/>
                <w:b/>
                <w:sz w:val="14"/>
                <w:szCs w:val="16"/>
              </w:rPr>
            </w:pPr>
            <w:r w:rsidRPr="00713767">
              <w:rPr>
                <w:rFonts w:cs="Arial"/>
                <w:b/>
                <w:sz w:val="14"/>
                <w:szCs w:val="16"/>
              </w:rPr>
              <w:t>Other Times</w:t>
            </w:r>
          </w:p>
        </w:tc>
        <w:tc>
          <w:tcPr>
            <w:tcW w:w="2340" w:type="dxa"/>
          </w:tcPr>
          <w:p w14:paraId="44064A34" w14:textId="77777777" w:rsidR="005868E5" w:rsidRPr="00713767" w:rsidRDefault="005868E5" w:rsidP="004318B1">
            <w:pPr>
              <w:jc w:val="center"/>
              <w:rPr>
                <w:rFonts w:cs="Arial"/>
                <w:sz w:val="14"/>
                <w:szCs w:val="16"/>
              </w:rPr>
            </w:pPr>
            <w:r w:rsidRPr="00713767">
              <w:rPr>
                <w:rFonts w:cs="Arial"/>
                <w:sz w:val="14"/>
                <w:szCs w:val="16"/>
              </w:rPr>
              <w:t>£100.00 Per Hour</w:t>
            </w:r>
          </w:p>
        </w:tc>
      </w:tr>
      <w:tr w:rsidR="005868E5" w:rsidRPr="00BC665D" w14:paraId="55359B07" w14:textId="77777777" w:rsidTr="005868E5">
        <w:trPr>
          <w:tblCellSpacing w:w="20" w:type="dxa"/>
        </w:trPr>
        <w:tc>
          <w:tcPr>
            <w:tcW w:w="2339" w:type="dxa"/>
            <w:shd w:val="clear" w:color="auto" w:fill="ADAFAF" w:themeFill="text2"/>
          </w:tcPr>
          <w:p w14:paraId="6F9E4D63" w14:textId="77777777" w:rsidR="005868E5" w:rsidRPr="00713767" w:rsidRDefault="005868E5" w:rsidP="004318B1">
            <w:pPr>
              <w:rPr>
                <w:rFonts w:cs="Arial"/>
                <w:b/>
                <w:sz w:val="14"/>
                <w:szCs w:val="16"/>
              </w:rPr>
            </w:pPr>
            <w:r w:rsidRPr="00713767">
              <w:rPr>
                <w:rFonts w:cs="Arial"/>
                <w:b/>
                <w:sz w:val="14"/>
                <w:szCs w:val="16"/>
              </w:rPr>
              <w:t>Saturday</w:t>
            </w:r>
          </w:p>
        </w:tc>
        <w:tc>
          <w:tcPr>
            <w:tcW w:w="2340" w:type="dxa"/>
            <w:shd w:val="clear" w:color="auto" w:fill="ADAFAF" w:themeFill="text2"/>
          </w:tcPr>
          <w:p w14:paraId="270BD1A4" w14:textId="77777777" w:rsidR="005868E5" w:rsidRPr="00713767" w:rsidRDefault="005868E5" w:rsidP="004318B1">
            <w:pPr>
              <w:jc w:val="center"/>
              <w:rPr>
                <w:rFonts w:cs="Arial"/>
                <w:sz w:val="14"/>
                <w:szCs w:val="16"/>
              </w:rPr>
            </w:pPr>
            <w:r w:rsidRPr="00713767">
              <w:rPr>
                <w:rFonts w:cs="Arial"/>
                <w:sz w:val="14"/>
                <w:szCs w:val="16"/>
              </w:rPr>
              <w:t>£100.00 Per Hour</w:t>
            </w:r>
          </w:p>
        </w:tc>
      </w:tr>
      <w:tr w:rsidR="005868E5" w:rsidRPr="00BC665D" w14:paraId="5750F88A" w14:textId="77777777" w:rsidTr="005868E5">
        <w:trPr>
          <w:tblCellSpacing w:w="20" w:type="dxa"/>
        </w:trPr>
        <w:tc>
          <w:tcPr>
            <w:tcW w:w="2339" w:type="dxa"/>
          </w:tcPr>
          <w:p w14:paraId="04893623" w14:textId="77777777" w:rsidR="005868E5" w:rsidRPr="00713767" w:rsidRDefault="005868E5" w:rsidP="004318B1">
            <w:pPr>
              <w:rPr>
                <w:rFonts w:cs="Arial"/>
                <w:b/>
                <w:sz w:val="14"/>
                <w:szCs w:val="16"/>
              </w:rPr>
            </w:pPr>
            <w:r w:rsidRPr="00713767">
              <w:rPr>
                <w:rFonts w:cs="Arial"/>
                <w:b/>
                <w:sz w:val="14"/>
                <w:szCs w:val="16"/>
              </w:rPr>
              <w:t>Sunday</w:t>
            </w:r>
          </w:p>
        </w:tc>
        <w:tc>
          <w:tcPr>
            <w:tcW w:w="2340" w:type="dxa"/>
          </w:tcPr>
          <w:p w14:paraId="1EEE80FC" w14:textId="77777777" w:rsidR="005868E5" w:rsidRPr="00713767" w:rsidRDefault="005868E5" w:rsidP="004318B1">
            <w:pPr>
              <w:jc w:val="center"/>
              <w:rPr>
                <w:rFonts w:cs="Arial"/>
                <w:sz w:val="14"/>
                <w:szCs w:val="16"/>
              </w:rPr>
            </w:pPr>
            <w:r w:rsidRPr="00713767">
              <w:rPr>
                <w:rFonts w:cs="Arial"/>
                <w:sz w:val="14"/>
                <w:szCs w:val="16"/>
              </w:rPr>
              <w:t>£100.00 Per Hour</w:t>
            </w:r>
          </w:p>
        </w:tc>
      </w:tr>
    </w:tbl>
    <w:p w14:paraId="4C610808" w14:textId="7A7CFBB6" w:rsidR="00BD048B" w:rsidRDefault="00BD048B" w:rsidP="005868E5">
      <w:pPr>
        <w:ind w:left="-76"/>
      </w:pPr>
    </w:p>
    <w:p w14:paraId="0580CD3E" w14:textId="189832B5" w:rsidR="00BD048B" w:rsidRDefault="00BD048B" w:rsidP="00BD048B">
      <w:pPr>
        <w:ind w:left="-76"/>
      </w:pPr>
      <w:r>
        <w:t>Time is charged by th</w:t>
      </w:r>
      <w:r w:rsidR="005868E5">
        <w:t>e hour. These rates are for a 1</w:t>
      </w:r>
      <w:r>
        <w:t>st line engineer and are subject to an annual review by Node4. For advanced engineers please contact Node4 for pricing.</w:t>
      </w:r>
    </w:p>
    <w:p w14:paraId="486E507A" w14:textId="1DF55266" w:rsidR="00BD048B" w:rsidRDefault="005868E5" w:rsidP="005868E5">
      <w:pPr>
        <w:pStyle w:val="Heading3"/>
      </w:pPr>
      <w:r>
        <w:t xml:space="preserve"> </w:t>
      </w:r>
      <w:r w:rsidR="00BD048B">
        <w:t xml:space="preserve">Payphone </w:t>
      </w:r>
      <w:r w:rsidR="00115DD3">
        <w:t>access f</w:t>
      </w:r>
      <w:r w:rsidR="00BD048B">
        <w:t>ees</w:t>
      </w:r>
    </w:p>
    <w:p w14:paraId="36BF335A" w14:textId="16DF68D6" w:rsidR="00BD048B" w:rsidRDefault="00BD048B" w:rsidP="00BD048B">
      <w:pPr>
        <w:ind w:left="-76"/>
      </w:pPr>
      <w:r>
        <w:t>When a Customer has Freephone telephone numbers (</w:t>
      </w:r>
      <w:proofErr w:type="spellStart"/>
      <w:r>
        <w:t>eg</w:t>
      </w:r>
      <w:proofErr w:type="spellEnd"/>
      <w:r>
        <w:t xml:space="preserve">. 0808, 0800 and 0500) allocated or ported into their </w:t>
      </w:r>
      <w:proofErr w:type="spellStart"/>
      <w:r w:rsidR="00FB1AA9">
        <w:t>SIPLink</w:t>
      </w:r>
      <w:proofErr w:type="spellEnd"/>
      <w:r>
        <w:t xml:space="preserve"> account, they will be charged for receiving those calls as per the call tariff allocated to their account. </w:t>
      </w:r>
    </w:p>
    <w:p w14:paraId="07612C1B" w14:textId="6021C794" w:rsidR="00BD048B" w:rsidRDefault="00BD048B" w:rsidP="00BD048B">
      <w:pPr>
        <w:ind w:left="-76"/>
      </w:pPr>
      <w:r>
        <w:t>If inbound calls to these numbers are received from a public payphone (</w:t>
      </w:r>
      <w:proofErr w:type="spellStart"/>
      <w:r>
        <w:t>ie</w:t>
      </w:r>
      <w:proofErr w:type="spellEnd"/>
      <w:r>
        <w:t>. someone calls the Customer’s Freephone number from a payphone) an additional charge is levied by the payphone provider for these calls. The rate of the Payphone Access Charge (PAC) is outside of Node4’s control but the total amount (per minute) payable is clearly identified within the Node4 call tariff sheet. The Customer’s call invoice and CDR files will identify the affected calls.</w:t>
      </w:r>
    </w:p>
    <w:p w14:paraId="2BD9A384" w14:textId="77380645" w:rsidR="00462DDE" w:rsidRDefault="00115DD3" w:rsidP="005868E5">
      <w:pPr>
        <w:pStyle w:val="Heading2"/>
      </w:pPr>
      <w:r>
        <w:t>Provision of s</w:t>
      </w:r>
      <w:r w:rsidR="00462DDE" w:rsidRPr="00462DDE">
        <w:t xml:space="preserve">ervices </w:t>
      </w:r>
    </w:p>
    <w:p w14:paraId="61220BF6" w14:textId="1FC9CC5C" w:rsidR="00462DDE" w:rsidRDefault="00462DDE" w:rsidP="00462DDE">
      <w:pPr>
        <w:ind w:left="-76"/>
      </w:pPr>
      <w:r>
        <w:t xml:space="preserve">The Node4 </w:t>
      </w:r>
      <w:proofErr w:type="spellStart"/>
      <w:r w:rsidR="00FB1AA9">
        <w:t>SIPLink</w:t>
      </w:r>
      <w:proofErr w:type="spellEnd"/>
      <w:r>
        <w:t xml:space="preserve"> service provides the Customer: </w:t>
      </w:r>
    </w:p>
    <w:p w14:paraId="317F3FED" w14:textId="079E4ADB" w:rsidR="005868E5" w:rsidRDefault="005868E5" w:rsidP="004318B1">
      <w:pPr>
        <w:pStyle w:val="ListParagraph"/>
      </w:pPr>
      <w:r w:rsidRPr="005868E5">
        <w:t>T</w:t>
      </w:r>
      <w:r w:rsidR="00462DDE" w:rsidRPr="005868E5">
        <w:t xml:space="preserve">he ability to make and receive telephone calls to the </w:t>
      </w:r>
      <w:proofErr w:type="spellStart"/>
      <w:r w:rsidR="00462DDE" w:rsidRPr="005868E5">
        <w:t>PSTN</w:t>
      </w:r>
      <w:proofErr w:type="spellEnd"/>
      <w:r w:rsidR="00462DDE" w:rsidRPr="005868E5">
        <w:t xml:space="preserve"> or other SIP users ove</w:t>
      </w:r>
      <w:r w:rsidRPr="005868E5">
        <w:t>r standards based SIP signalling</w:t>
      </w:r>
      <w:r>
        <w:t>.</w:t>
      </w:r>
    </w:p>
    <w:p w14:paraId="6949BEB1" w14:textId="0C99E978" w:rsidR="00462DDE" w:rsidRDefault="005868E5" w:rsidP="004318B1">
      <w:pPr>
        <w:pStyle w:val="ListParagraph"/>
      </w:pPr>
      <w:r>
        <w:t>S</w:t>
      </w:r>
      <w:r w:rsidR="00462DDE">
        <w:t>upport for codec</w:t>
      </w:r>
      <w:r>
        <w:t>s G711a, G711u, G729a and G729b.</w:t>
      </w:r>
    </w:p>
    <w:p w14:paraId="3E9DBCEF" w14:textId="53A14640" w:rsidR="00462DDE" w:rsidRDefault="00462DDE" w:rsidP="00462DDE">
      <w:pPr>
        <w:ind w:left="-76"/>
      </w:pPr>
      <w:r>
        <w:t>IP Connectivity to Node4 SIP Servers is the responsibility of the Customer.</w:t>
      </w:r>
    </w:p>
    <w:p w14:paraId="3C22DD54" w14:textId="2EEEF5E5" w:rsidR="003909DD" w:rsidRDefault="005868E5" w:rsidP="005868E5">
      <w:pPr>
        <w:pStyle w:val="Heading3"/>
      </w:pPr>
      <w:r>
        <w:t xml:space="preserve"> </w:t>
      </w:r>
      <w:r w:rsidR="00115DD3">
        <w:t>Payphone a</w:t>
      </w:r>
      <w:r w:rsidR="003909DD">
        <w:t xml:space="preserve">ccess </w:t>
      </w:r>
      <w:r w:rsidR="00115DD3">
        <w:t>f</w:t>
      </w:r>
      <w:r w:rsidR="003909DD">
        <w:t>ees</w:t>
      </w:r>
    </w:p>
    <w:p w14:paraId="626F6DD5" w14:textId="0868B40A" w:rsidR="00AD6F1F" w:rsidRDefault="00AD6F1F" w:rsidP="003909DD">
      <w:pPr>
        <w:ind w:left="-76"/>
      </w:pPr>
      <w:r>
        <w:t xml:space="preserve">For Service installation and provision the </w:t>
      </w:r>
      <w:proofErr w:type="spellStart"/>
      <w:r w:rsidR="00FB1AA9">
        <w:t>SIPLink</w:t>
      </w:r>
      <w:proofErr w:type="spellEnd"/>
      <w:r>
        <w:t xml:space="preserve"> Customer Questionnaire should be completed. This is required for each Customer Endpoint. The questionnaire includes a forecast which should be completed so that the correct tariff is applied. </w:t>
      </w:r>
    </w:p>
    <w:p w14:paraId="1003C626" w14:textId="67D57897" w:rsidR="00AD6F1F" w:rsidRDefault="00AD6F1F" w:rsidP="003909DD">
      <w:pPr>
        <w:ind w:left="-76"/>
      </w:pPr>
      <w:r>
        <w:t>Node4 will use reasonable endeavours to notify the Customer in the event of any delays in providing the Services.</w:t>
      </w:r>
    </w:p>
    <w:p w14:paraId="7E96E44D" w14:textId="032C6AB1" w:rsidR="00AD6F1F" w:rsidRDefault="005868E5" w:rsidP="005868E5">
      <w:pPr>
        <w:pStyle w:val="Heading3"/>
      </w:pPr>
      <w:r>
        <w:t xml:space="preserve"> </w:t>
      </w:r>
      <w:r w:rsidR="00AD6F1F">
        <w:t xml:space="preserve">Numbering </w:t>
      </w:r>
    </w:p>
    <w:p w14:paraId="29EF8AAA" w14:textId="3E12DCC6" w:rsidR="00AD6F1F" w:rsidRDefault="008073A7" w:rsidP="00AD6F1F">
      <w:pPr>
        <w:ind w:left="-76"/>
      </w:pPr>
      <w:r>
        <w:t xml:space="preserve">Geographic, Non-geographic (080x, 084x, 087x, 03x) and International numbers are available for use on the </w:t>
      </w:r>
      <w:proofErr w:type="spellStart"/>
      <w:r w:rsidR="00FB1AA9">
        <w:t>SIPLink</w:t>
      </w:r>
      <w:proofErr w:type="spellEnd"/>
      <w:r>
        <w:t xml:space="preserve"> service.</w:t>
      </w:r>
    </w:p>
    <w:p w14:paraId="1529602A" w14:textId="174FEBB6" w:rsidR="008073A7" w:rsidRDefault="005868E5" w:rsidP="005868E5">
      <w:pPr>
        <w:pStyle w:val="Heading3"/>
      </w:pPr>
      <w:r>
        <w:t xml:space="preserve"> </w:t>
      </w:r>
      <w:r w:rsidR="00115DD3">
        <w:t>Number p</w:t>
      </w:r>
      <w:r w:rsidR="008073A7">
        <w:t>orting</w:t>
      </w:r>
    </w:p>
    <w:p w14:paraId="3D2763D2" w14:textId="77777777" w:rsidR="008073A7" w:rsidRDefault="008073A7" w:rsidP="008073A7">
      <w:pPr>
        <w:ind w:left="-76"/>
      </w:pPr>
      <w:r>
        <w:t xml:space="preserve">Node4 provide number porting services for both geographic and non-geographic numbers from several operators. The following completed forms are required to progress a number port: </w:t>
      </w:r>
    </w:p>
    <w:p w14:paraId="436C8343" w14:textId="0D16A11E" w:rsidR="005868E5" w:rsidRDefault="008073A7" w:rsidP="004318B1">
      <w:pPr>
        <w:pStyle w:val="ListParagraph"/>
      </w:pPr>
      <w:r>
        <w:t>Customer Letter of Authorisation (o</w:t>
      </w:r>
      <w:r w:rsidR="005868E5">
        <w:t>n Customer letter headed paper).</w:t>
      </w:r>
    </w:p>
    <w:p w14:paraId="179488AF" w14:textId="54D6A9C2" w:rsidR="005868E5" w:rsidRDefault="008073A7" w:rsidP="004318B1">
      <w:pPr>
        <w:pStyle w:val="ListParagraph"/>
      </w:pPr>
      <w:r>
        <w:t>N</w:t>
      </w:r>
      <w:r w:rsidR="005868E5">
        <w:t>umber Porting Data Capture Form.</w:t>
      </w:r>
    </w:p>
    <w:p w14:paraId="742D0459" w14:textId="453A5A02" w:rsidR="008073A7" w:rsidRDefault="005868E5" w:rsidP="004318B1">
      <w:pPr>
        <w:pStyle w:val="ListParagraph"/>
      </w:pPr>
      <w:r>
        <w:t>Customer Telephone Bill.</w:t>
      </w:r>
    </w:p>
    <w:p w14:paraId="4B6F5F57" w14:textId="77777777" w:rsidR="008073A7" w:rsidRDefault="008073A7" w:rsidP="008073A7">
      <w:pPr>
        <w:ind w:left="-76"/>
      </w:pPr>
      <w:r>
        <w:t xml:space="preserve">Lead times are identified in Node4’s Number Porting Lead Times document. </w:t>
      </w:r>
    </w:p>
    <w:p w14:paraId="1B77087D" w14:textId="3AEA5045" w:rsidR="008073A7" w:rsidRDefault="008073A7" w:rsidP="008073A7">
      <w:pPr>
        <w:ind w:left="-76"/>
      </w:pPr>
      <w:r>
        <w:t>Numbers can be ported away from Node4 subject to the subsequent provider having a porting arrangement with Node4.</w:t>
      </w:r>
    </w:p>
    <w:p w14:paraId="2DA15CF2" w14:textId="70168E6C" w:rsidR="00B96AD3" w:rsidRDefault="005868E5" w:rsidP="005868E5">
      <w:pPr>
        <w:pStyle w:val="Heading3"/>
      </w:pPr>
      <w:r>
        <w:t xml:space="preserve"> </w:t>
      </w:r>
      <w:r w:rsidR="00115DD3">
        <w:t>Calls p</w:t>
      </w:r>
      <w:r w:rsidR="00B96AD3">
        <w:t xml:space="preserve">er </w:t>
      </w:r>
      <w:r w:rsidR="00115DD3">
        <w:t>s</w:t>
      </w:r>
      <w:r w:rsidR="00B96AD3">
        <w:t>econd (CPS)</w:t>
      </w:r>
    </w:p>
    <w:p w14:paraId="2A5C1110" w14:textId="77777777" w:rsidR="00B96AD3" w:rsidRDefault="00B96AD3" w:rsidP="00B96AD3">
      <w:pPr>
        <w:ind w:left="-76"/>
      </w:pPr>
      <w:r>
        <w:t xml:space="preserve">The maximum Calls </w:t>
      </w:r>
      <w:proofErr w:type="gramStart"/>
      <w:r>
        <w:t>Per</w:t>
      </w:r>
      <w:proofErr w:type="gramEnd"/>
      <w:r>
        <w:t xml:space="preserve"> Second a Customer can make will be limited in relation to the total number of channels purchased by the Customer according to the below table and allocated evenly across all Endpoints unless otherwise directed. </w:t>
      </w:r>
    </w:p>
    <w:p w14:paraId="4FE87DE0" w14:textId="45CC899F" w:rsidR="00B96AD3" w:rsidRDefault="00B96AD3" w:rsidP="005868E5">
      <w:pPr>
        <w:ind w:left="-76"/>
      </w:pPr>
      <w:r>
        <w:t>Any call attempts that cause the Customer to exceed the CPS allowance shown above will be rejected. In some cases a SIP response will not be returned when this situation occurs.</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399"/>
        <w:gridCol w:w="2400"/>
      </w:tblGrid>
      <w:tr w:rsidR="005868E5" w:rsidRPr="00BC665D" w14:paraId="3D5C60FB" w14:textId="77777777" w:rsidTr="005868E5">
        <w:trPr>
          <w:trHeight w:val="631"/>
          <w:tblCellSpacing w:w="20" w:type="dxa"/>
        </w:trPr>
        <w:tc>
          <w:tcPr>
            <w:tcW w:w="2339" w:type="dxa"/>
            <w:shd w:val="clear" w:color="auto" w:fill="323232" w:themeFill="text1"/>
            <w:vAlign w:val="bottom"/>
          </w:tcPr>
          <w:p w14:paraId="77C9B508" w14:textId="110E799B" w:rsidR="005868E5" w:rsidRPr="00713767" w:rsidRDefault="005868E5" w:rsidP="005868E5">
            <w:pPr>
              <w:jc w:val="center"/>
              <w:rPr>
                <w:rFonts w:cs="Arial"/>
                <w:b/>
                <w:color w:val="FFFFFF"/>
                <w:sz w:val="14"/>
                <w:szCs w:val="16"/>
              </w:rPr>
            </w:pPr>
            <w:r>
              <w:rPr>
                <w:rFonts w:cs="Arial"/>
                <w:b/>
                <w:color w:val="FFFFFF"/>
                <w:sz w:val="14"/>
                <w:szCs w:val="16"/>
              </w:rPr>
              <w:t>Channels</w:t>
            </w:r>
          </w:p>
        </w:tc>
        <w:tc>
          <w:tcPr>
            <w:tcW w:w="2340" w:type="dxa"/>
            <w:shd w:val="clear" w:color="auto" w:fill="323232" w:themeFill="text1"/>
            <w:vAlign w:val="bottom"/>
          </w:tcPr>
          <w:p w14:paraId="1032F550" w14:textId="34F2EDF9" w:rsidR="005868E5" w:rsidRPr="00713767" w:rsidRDefault="005868E5" w:rsidP="005868E5">
            <w:pPr>
              <w:jc w:val="center"/>
              <w:rPr>
                <w:rFonts w:cs="Arial"/>
                <w:b/>
                <w:color w:val="FFFFFF"/>
                <w:sz w:val="14"/>
                <w:szCs w:val="16"/>
              </w:rPr>
            </w:pPr>
            <w:r>
              <w:rPr>
                <w:rFonts w:cs="Arial"/>
                <w:b/>
                <w:color w:val="FFFFFF"/>
                <w:sz w:val="14"/>
                <w:szCs w:val="16"/>
              </w:rPr>
              <w:t>Calls Per Second</w:t>
            </w:r>
          </w:p>
        </w:tc>
      </w:tr>
      <w:tr w:rsidR="005868E5" w:rsidRPr="00BC665D" w14:paraId="1D854680" w14:textId="77777777" w:rsidTr="005868E5">
        <w:trPr>
          <w:trHeight w:val="179"/>
          <w:tblCellSpacing w:w="20" w:type="dxa"/>
        </w:trPr>
        <w:tc>
          <w:tcPr>
            <w:tcW w:w="2339" w:type="dxa"/>
            <w:shd w:val="clear" w:color="auto" w:fill="ADAFAF" w:themeFill="text2"/>
          </w:tcPr>
          <w:p w14:paraId="78FEA3A9" w14:textId="2AD8ABC7" w:rsidR="005868E5" w:rsidRPr="005868E5" w:rsidRDefault="005868E5" w:rsidP="005868E5">
            <w:pPr>
              <w:jc w:val="center"/>
              <w:rPr>
                <w:rFonts w:cs="Arial"/>
                <w:b/>
                <w:sz w:val="12"/>
                <w:szCs w:val="16"/>
              </w:rPr>
            </w:pPr>
            <w:r w:rsidRPr="005868E5">
              <w:rPr>
                <w:rFonts w:cs="Arial"/>
                <w:b/>
                <w:sz w:val="12"/>
                <w:szCs w:val="16"/>
              </w:rPr>
              <w:t>10</w:t>
            </w:r>
          </w:p>
        </w:tc>
        <w:tc>
          <w:tcPr>
            <w:tcW w:w="2340" w:type="dxa"/>
            <w:shd w:val="clear" w:color="auto" w:fill="ADAFAF" w:themeFill="text2"/>
          </w:tcPr>
          <w:p w14:paraId="5BD988CC" w14:textId="007461C6" w:rsidR="005868E5" w:rsidRPr="005868E5" w:rsidRDefault="005868E5" w:rsidP="005868E5">
            <w:pPr>
              <w:jc w:val="center"/>
              <w:rPr>
                <w:rFonts w:cs="Arial"/>
                <w:sz w:val="12"/>
                <w:szCs w:val="16"/>
              </w:rPr>
            </w:pPr>
            <w:r w:rsidRPr="005868E5">
              <w:rPr>
                <w:rFonts w:cs="Arial"/>
                <w:sz w:val="12"/>
                <w:szCs w:val="16"/>
              </w:rPr>
              <w:t>1</w:t>
            </w:r>
          </w:p>
        </w:tc>
      </w:tr>
      <w:tr w:rsidR="005868E5" w:rsidRPr="00BC665D" w14:paraId="43AD2CE7" w14:textId="77777777" w:rsidTr="005868E5">
        <w:trPr>
          <w:tblCellSpacing w:w="20" w:type="dxa"/>
        </w:trPr>
        <w:tc>
          <w:tcPr>
            <w:tcW w:w="2339" w:type="dxa"/>
          </w:tcPr>
          <w:p w14:paraId="7F8A23F4" w14:textId="5542AAD6" w:rsidR="005868E5" w:rsidRPr="005868E5" w:rsidRDefault="005868E5" w:rsidP="005868E5">
            <w:pPr>
              <w:jc w:val="center"/>
              <w:rPr>
                <w:rFonts w:cs="Arial"/>
                <w:b/>
                <w:sz w:val="12"/>
                <w:szCs w:val="16"/>
              </w:rPr>
            </w:pPr>
            <w:r w:rsidRPr="005868E5">
              <w:rPr>
                <w:rFonts w:cs="Arial"/>
                <w:b/>
                <w:sz w:val="12"/>
                <w:szCs w:val="16"/>
              </w:rPr>
              <w:t>20</w:t>
            </w:r>
          </w:p>
        </w:tc>
        <w:tc>
          <w:tcPr>
            <w:tcW w:w="2340" w:type="dxa"/>
          </w:tcPr>
          <w:p w14:paraId="71923243" w14:textId="0BD7937E" w:rsidR="005868E5" w:rsidRPr="005868E5" w:rsidRDefault="005868E5" w:rsidP="005868E5">
            <w:pPr>
              <w:jc w:val="center"/>
              <w:rPr>
                <w:rFonts w:cs="Arial"/>
                <w:sz w:val="12"/>
                <w:szCs w:val="16"/>
              </w:rPr>
            </w:pPr>
            <w:r w:rsidRPr="005868E5">
              <w:rPr>
                <w:rFonts w:cs="Arial"/>
                <w:sz w:val="12"/>
                <w:szCs w:val="16"/>
              </w:rPr>
              <w:t>2</w:t>
            </w:r>
          </w:p>
        </w:tc>
      </w:tr>
      <w:tr w:rsidR="005868E5" w:rsidRPr="00BC665D" w14:paraId="68627A21" w14:textId="77777777" w:rsidTr="005868E5">
        <w:trPr>
          <w:tblCellSpacing w:w="20" w:type="dxa"/>
        </w:trPr>
        <w:tc>
          <w:tcPr>
            <w:tcW w:w="2339" w:type="dxa"/>
            <w:shd w:val="clear" w:color="auto" w:fill="ADAFAF" w:themeFill="text2"/>
          </w:tcPr>
          <w:p w14:paraId="65A0722E" w14:textId="79A0C0C2" w:rsidR="005868E5" w:rsidRPr="005868E5" w:rsidRDefault="005868E5" w:rsidP="005868E5">
            <w:pPr>
              <w:jc w:val="center"/>
              <w:rPr>
                <w:rFonts w:cs="Arial"/>
                <w:b/>
                <w:sz w:val="12"/>
                <w:szCs w:val="16"/>
              </w:rPr>
            </w:pPr>
            <w:r w:rsidRPr="005868E5">
              <w:rPr>
                <w:rFonts w:cs="Arial"/>
                <w:b/>
                <w:sz w:val="12"/>
                <w:szCs w:val="16"/>
              </w:rPr>
              <w:t>30</w:t>
            </w:r>
          </w:p>
        </w:tc>
        <w:tc>
          <w:tcPr>
            <w:tcW w:w="2340" w:type="dxa"/>
            <w:shd w:val="clear" w:color="auto" w:fill="ADAFAF" w:themeFill="text2"/>
          </w:tcPr>
          <w:p w14:paraId="57494DDD" w14:textId="684202D8" w:rsidR="005868E5" w:rsidRPr="005868E5" w:rsidRDefault="005868E5" w:rsidP="005868E5">
            <w:pPr>
              <w:jc w:val="center"/>
              <w:rPr>
                <w:rFonts w:cs="Arial"/>
                <w:sz w:val="12"/>
                <w:szCs w:val="16"/>
              </w:rPr>
            </w:pPr>
            <w:r w:rsidRPr="005868E5">
              <w:rPr>
                <w:rFonts w:cs="Arial"/>
                <w:sz w:val="12"/>
                <w:szCs w:val="16"/>
              </w:rPr>
              <w:t>3</w:t>
            </w:r>
          </w:p>
        </w:tc>
      </w:tr>
      <w:tr w:rsidR="005868E5" w:rsidRPr="00BC665D" w14:paraId="7E895AEE" w14:textId="77777777" w:rsidTr="005868E5">
        <w:trPr>
          <w:tblCellSpacing w:w="20" w:type="dxa"/>
        </w:trPr>
        <w:tc>
          <w:tcPr>
            <w:tcW w:w="2339" w:type="dxa"/>
          </w:tcPr>
          <w:p w14:paraId="24F43355" w14:textId="1811FB2A" w:rsidR="005868E5" w:rsidRPr="005868E5" w:rsidRDefault="005868E5" w:rsidP="005868E5">
            <w:pPr>
              <w:jc w:val="center"/>
              <w:rPr>
                <w:rFonts w:cs="Arial"/>
                <w:b/>
                <w:sz w:val="12"/>
                <w:szCs w:val="16"/>
              </w:rPr>
            </w:pPr>
            <w:r w:rsidRPr="005868E5">
              <w:rPr>
                <w:rFonts w:cs="Arial"/>
                <w:b/>
                <w:sz w:val="12"/>
                <w:szCs w:val="16"/>
              </w:rPr>
              <w:t>50</w:t>
            </w:r>
          </w:p>
        </w:tc>
        <w:tc>
          <w:tcPr>
            <w:tcW w:w="2340" w:type="dxa"/>
          </w:tcPr>
          <w:p w14:paraId="47621A92" w14:textId="4773F50B" w:rsidR="005868E5" w:rsidRPr="005868E5" w:rsidRDefault="005868E5" w:rsidP="005868E5">
            <w:pPr>
              <w:jc w:val="center"/>
              <w:rPr>
                <w:rFonts w:cs="Arial"/>
                <w:sz w:val="12"/>
                <w:szCs w:val="16"/>
              </w:rPr>
            </w:pPr>
            <w:r w:rsidRPr="005868E5">
              <w:rPr>
                <w:rFonts w:cs="Arial"/>
                <w:sz w:val="12"/>
                <w:szCs w:val="16"/>
              </w:rPr>
              <w:t>3</w:t>
            </w:r>
          </w:p>
        </w:tc>
      </w:tr>
      <w:tr w:rsidR="005868E5" w:rsidRPr="00BC665D" w14:paraId="3569F3AF" w14:textId="77777777" w:rsidTr="005868E5">
        <w:trPr>
          <w:tblCellSpacing w:w="20" w:type="dxa"/>
        </w:trPr>
        <w:tc>
          <w:tcPr>
            <w:tcW w:w="2339" w:type="dxa"/>
            <w:shd w:val="clear" w:color="auto" w:fill="A6A6A6" w:themeFill="background1" w:themeFillShade="A6"/>
          </w:tcPr>
          <w:p w14:paraId="25F7E214" w14:textId="6729EA3B" w:rsidR="005868E5" w:rsidRPr="005868E5" w:rsidRDefault="005868E5" w:rsidP="005868E5">
            <w:pPr>
              <w:jc w:val="center"/>
              <w:rPr>
                <w:rFonts w:cs="Arial"/>
                <w:b/>
                <w:sz w:val="12"/>
                <w:szCs w:val="16"/>
              </w:rPr>
            </w:pPr>
            <w:r w:rsidRPr="005868E5">
              <w:rPr>
                <w:rFonts w:cs="Arial"/>
                <w:b/>
                <w:sz w:val="12"/>
                <w:szCs w:val="16"/>
              </w:rPr>
              <w:t>100</w:t>
            </w:r>
          </w:p>
        </w:tc>
        <w:tc>
          <w:tcPr>
            <w:tcW w:w="2340" w:type="dxa"/>
            <w:shd w:val="clear" w:color="auto" w:fill="A6A6A6" w:themeFill="background1" w:themeFillShade="A6"/>
          </w:tcPr>
          <w:p w14:paraId="31A8D7C2" w14:textId="468C7D9D" w:rsidR="005868E5" w:rsidRPr="005868E5" w:rsidRDefault="005868E5" w:rsidP="005868E5">
            <w:pPr>
              <w:jc w:val="center"/>
              <w:rPr>
                <w:rFonts w:cs="Arial"/>
                <w:sz w:val="12"/>
                <w:szCs w:val="16"/>
              </w:rPr>
            </w:pPr>
            <w:r w:rsidRPr="005868E5">
              <w:rPr>
                <w:rFonts w:cs="Arial"/>
                <w:sz w:val="12"/>
                <w:szCs w:val="16"/>
              </w:rPr>
              <w:t>4</w:t>
            </w:r>
          </w:p>
        </w:tc>
      </w:tr>
      <w:tr w:rsidR="005868E5" w:rsidRPr="00BC665D" w14:paraId="2A9F930F" w14:textId="77777777" w:rsidTr="005868E5">
        <w:trPr>
          <w:tblCellSpacing w:w="20" w:type="dxa"/>
        </w:trPr>
        <w:tc>
          <w:tcPr>
            <w:tcW w:w="2339" w:type="dxa"/>
          </w:tcPr>
          <w:p w14:paraId="3CB661FB" w14:textId="4E0BBC57" w:rsidR="005868E5" w:rsidRPr="005868E5" w:rsidRDefault="005868E5" w:rsidP="005868E5">
            <w:pPr>
              <w:jc w:val="center"/>
              <w:rPr>
                <w:rFonts w:cs="Arial"/>
                <w:b/>
                <w:sz w:val="12"/>
                <w:szCs w:val="16"/>
              </w:rPr>
            </w:pPr>
            <w:r w:rsidRPr="005868E5">
              <w:rPr>
                <w:rFonts w:cs="Arial"/>
                <w:b/>
                <w:sz w:val="12"/>
                <w:szCs w:val="16"/>
              </w:rPr>
              <w:t>200</w:t>
            </w:r>
          </w:p>
        </w:tc>
        <w:tc>
          <w:tcPr>
            <w:tcW w:w="2340" w:type="dxa"/>
          </w:tcPr>
          <w:p w14:paraId="3BD9B91E" w14:textId="16BBC8FA" w:rsidR="005868E5" w:rsidRPr="005868E5" w:rsidRDefault="005868E5" w:rsidP="005868E5">
            <w:pPr>
              <w:jc w:val="center"/>
              <w:rPr>
                <w:rFonts w:cs="Arial"/>
                <w:sz w:val="12"/>
                <w:szCs w:val="16"/>
              </w:rPr>
            </w:pPr>
            <w:r w:rsidRPr="005868E5">
              <w:rPr>
                <w:rFonts w:cs="Arial"/>
                <w:sz w:val="12"/>
                <w:szCs w:val="16"/>
              </w:rPr>
              <w:t>5</w:t>
            </w:r>
          </w:p>
        </w:tc>
      </w:tr>
      <w:tr w:rsidR="005868E5" w:rsidRPr="00BC665D" w14:paraId="6AF7E6B0" w14:textId="77777777" w:rsidTr="005868E5">
        <w:trPr>
          <w:tblCellSpacing w:w="20" w:type="dxa"/>
        </w:trPr>
        <w:tc>
          <w:tcPr>
            <w:tcW w:w="2339" w:type="dxa"/>
            <w:shd w:val="clear" w:color="auto" w:fill="A6A6A6" w:themeFill="background1" w:themeFillShade="A6"/>
          </w:tcPr>
          <w:p w14:paraId="46D97426" w14:textId="33452674" w:rsidR="005868E5" w:rsidRPr="005868E5" w:rsidRDefault="005868E5" w:rsidP="005868E5">
            <w:pPr>
              <w:jc w:val="center"/>
              <w:rPr>
                <w:rFonts w:cs="Arial"/>
                <w:b/>
                <w:sz w:val="12"/>
                <w:szCs w:val="16"/>
              </w:rPr>
            </w:pPr>
            <w:r w:rsidRPr="005868E5">
              <w:rPr>
                <w:rFonts w:cs="Arial"/>
                <w:b/>
                <w:sz w:val="12"/>
                <w:szCs w:val="16"/>
              </w:rPr>
              <w:lastRenderedPageBreak/>
              <w:t>300</w:t>
            </w:r>
          </w:p>
        </w:tc>
        <w:tc>
          <w:tcPr>
            <w:tcW w:w="2340" w:type="dxa"/>
            <w:shd w:val="clear" w:color="auto" w:fill="A6A6A6" w:themeFill="background1" w:themeFillShade="A6"/>
          </w:tcPr>
          <w:p w14:paraId="1F49BD82" w14:textId="3D19E999" w:rsidR="005868E5" w:rsidRPr="005868E5" w:rsidRDefault="005868E5" w:rsidP="005868E5">
            <w:pPr>
              <w:jc w:val="center"/>
              <w:rPr>
                <w:rFonts w:cs="Arial"/>
                <w:sz w:val="12"/>
                <w:szCs w:val="16"/>
              </w:rPr>
            </w:pPr>
            <w:r w:rsidRPr="005868E5">
              <w:rPr>
                <w:rFonts w:cs="Arial"/>
                <w:sz w:val="12"/>
                <w:szCs w:val="16"/>
              </w:rPr>
              <w:t>6</w:t>
            </w:r>
          </w:p>
        </w:tc>
      </w:tr>
      <w:tr w:rsidR="005868E5" w:rsidRPr="00BC665D" w14:paraId="5A897A69" w14:textId="77777777" w:rsidTr="005868E5">
        <w:trPr>
          <w:tblCellSpacing w:w="20" w:type="dxa"/>
        </w:trPr>
        <w:tc>
          <w:tcPr>
            <w:tcW w:w="2339" w:type="dxa"/>
          </w:tcPr>
          <w:p w14:paraId="4359CC33" w14:textId="7EE1099A" w:rsidR="005868E5" w:rsidRPr="005868E5" w:rsidRDefault="005868E5" w:rsidP="005868E5">
            <w:pPr>
              <w:jc w:val="center"/>
              <w:rPr>
                <w:rFonts w:cs="Arial"/>
                <w:b/>
                <w:sz w:val="12"/>
                <w:szCs w:val="16"/>
              </w:rPr>
            </w:pPr>
            <w:r w:rsidRPr="005868E5">
              <w:rPr>
                <w:rFonts w:cs="Arial"/>
                <w:b/>
                <w:sz w:val="12"/>
                <w:szCs w:val="16"/>
              </w:rPr>
              <w:t>400</w:t>
            </w:r>
          </w:p>
        </w:tc>
        <w:tc>
          <w:tcPr>
            <w:tcW w:w="2340" w:type="dxa"/>
          </w:tcPr>
          <w:p w14:paraId="66FB877B" w14:textId="26237710" w:rsidR="005868E5" w:rsidRPr="005868E5" w:rsidRDefault="005868E5" w:rsidP="005868E5">
            <w:pPr>
              <w:jc w:val="center"/>
              <w:rPr>
                <w:rFonts w:cs="Arial"/>
                <w:sz w:val="12"/>
                <w:szCs w:val="16"/>
              </w:rPr>
            </w:pPr>
            <w:r w:rsidRPr="005868E5">
              <w:rPr>
                <w:rFonts w:cs="Arial"/>
                <w:sz w:val="12"/>
                <w:szCs w:val="16"/>
              </w:rPr>
              <w:t>7</w:t>
            </w:r>
          </w:p>
        </w:tc>
      </w:tr>
      <w:tr w:rsidR="005868E5" w:rsidRPr="00BC665D" w14:paraId="33ED880C" w14:textId="77777777" w:rsidTr="005868E5">
        <w:trPr>
          <w:tblCellSpacing w:w="20" w:type="dxa"/>
        </w:trPr>
        <w:tc>
          <w:tcPr>
            <w:tcW w:w="2339" w:type="dxa"/>
            <w:shd w:val="clear" w:color="auto" w:fill="A6A6A6" w:themeFill="background1" w:themeFillShade="A6"/>
          </w:tcPr>
          <w:p w14:paraId="0DC4D45D" w14:textId="743BB45D" w:rsidR="005868E5" w:rsidRPr="005868E5" w:rsidRDefault="005868E5" w:rsidP="005868E5">
            <w:pPr>
              <w:jc w:val="center"/>
              <w:rPr>
                <w:rFonts w:cs="Arial"/>
                <w:b/>
                <w:sz w:val="12"/>
                <w:szCs w:val="16"/>
              </w:rPr>
            </w:pPr>
            <w:r w:rsidRPr="005868E5">
              <w:rPr>
                <w:rFonts w:cs="Arial"/>
                <w:b/>
                <w:sz w:val="12"/>
                <w:szCs w:val="16"/>
              </w:rPr>
              <w:t>600</w:t>
            </w:r>
          </w:p>
        </w:tc>
        <w:tc>
          <w:tcPr>
            <w:tcW w:w="2340" w:type="dxa"/>
            <w:shd w:val="clear" w:color="auto" w:fill="A6A6A6" w:themeFill="background1" w:themeFillShade="A6"/>
          </w:tcPr>
          <w:p w14:paraId="5313A6A9" w14:textId="399B6A8B" w:rsidR="005868E5" w:rsidRPr="005868E5" w:rsidRDefault="005868E5" w:rsidP="005868E5">
            <w:pPr>
              <w:jc w:val="center"/>
              <w:rPr>
                <w:rFonts w:cs="Arial"/>
                <w:sz w:val="12"/>
                <w:szCs w:val="16"/>
              </w:rPr>
            </w:pPr>
            <w:r w:rsidRPr="005868E5">
              <w:rPr>
                <w:rFonts w:cs="Arial"/>
                <w:sz w:val="12"/>
                <w:szCs w:val="16"/>
              </w:rPr>
              <w:t>9</w:t>
            </w:r>
          </w:p>
        </w:tc>
      </w:tr>
      <w:tr w:rsidR="005868E5" w:rsidRPr="00BC665D" w14:paraId="78851671" w14:textId="77777777" w:rsidTr="005868E5">
        <w:trPr>
          <w:tblCellSpacing w:w="20" w:type="dxa"/>
        </w:trPr>
        <w:tc>
          <w:tcPr>
            <w:tcW w:w="2339" w:type="dxa"/>
          </w:tcPr>
          <w:p w14:paraId="3A89085B" w14:textId="3183375E" w:rsidR="005868E5" w:rsidRPr="005868E5" w:rsidRDefault="005868E5" w:rsidP="005868E5">
            <w:pPr>
              <w:jc w:val="center"/>
              <w:rPr>
                <w:rFonts w:cs="Arial"/>
                <w:b/>
                <w:sz w:val="12"/>
                <w:szCs w:val="16"/>
              </w:rPr>
            </w:pPr>
            <w:r w:rsidRPr="005868E5">
              <w:rPr>
                <w:rFonts w:cs="Arial"/>
                <w:b/>
                <w:sz w:val="12"/>
                <w:szCs w:val="16"/>
              </w:rPr>
              <w:t>800</w:t>
            </w:r>
          </w:p>
        </w:tc>
        <w:tc>
          <w:tcPr>
            <w:tcW w:w="2340" w:type="dxa"/>
          </w:tcPr>
          <w:p w14:paraId="3612564A" w14:textId="1A532626" w:rsidR="005868E5" w:rsidRPr="005868E5" w:rsidRDefault="005868E5" w:rsidP="005868E5">
            <w:pPr>
              <w:jc w:val="center"/>
              <w:rPr>
                <w:rFonts w:cs="Arial"/>
                <w:sz w:val="12"/>
                <w:szCs w:val="16"/>
              </w:rPr>
            </w:pPr>
            <w:r w:rsidRPr="005868E5">
              <w:rPr>
                <w:rFonts w:cs="Arial"/>
                <w:sz w:val="12"/>
                <w:szCs w:val="16"/>
              </w:rPr>
              <w:t>11</w:t>
            </w:r>
          </w:p>
        </w:tc>
      </w:tr>
      <w:tr w:rsidR="005868E5" w:rsidRPr="00BC665D" w14:paraId="3F32EB42" w14:textId="77777777" w:rsidTr="005868E5">
        <w:trPr>
          <w:tblCellSpacing w:w="20" w:type="dxa"/>
        </w:trPr>
        <w:tc>
          <w:tcPr>
            <w:tcW w:w="2339" w:type="dxa"/>
            <w:shd w:val="clear" w:color="auto" w:fill="A6A6A6" w:themeFill="background1" w:themeFillShade="A6"/>
          </w:tcPr>
          <w:p w14:paraId="24BAEAC8" w14:textId="11EFD410" w:rsidR="005868E5" w:rsidRPr="005868E5" w:rsidRDefault="005868E5" w:rsidP="005868E5">
            <w:pPr>
              <w:jc w:val="center"/>
              <w:rPr>
                <w:rFonts w:cs="Arial"/>
                <w:b/>
                <w:sz w:val="12"/>
                <w:szCs w:val="16"/>
              </w:rPr>
            </w:pPr>
            <w:r w:rsidRPr="005868E5">
              <w:rPr>
                <w:rFonts w:cs="Arial"/>
                <w:b/>
                <w:sz w:val="12"/>
                <w:szCs w:val="16"/>
              </w:rPr>
              <w:t>1000</w:t>
            </w:r>
          </w:p>
        </w:tc>
        <w:tc>
          <w:tcPr>
            <w:tcW w:w="2340" w:type="dxa"/>
            <w:shd w:val="clear" w:color="auto" w:fill="A6A6A6" w:themeFill="background1" w:themeFillShade="A6"/>
          </w:tcPr>
          <w:p w14:paraId="31CDCCB4" w14:textId="02EB3682" w:rsidR="005868E5" w:rsidRPr="005868E5" w:rsidRDefault="005868E5" w:rsidP="005868E5">
            <w:pPr>
              <w:jc w:val="center"/>
              <w:rPr>
                <w:rFonts w:cs="Arial"/>
                <w:sz w:val="12"/>
                <w:szCs w:val="16"/>
              </w:rPr>
            </w:pPr>
            <w:r w:rsidRPr="005868E5">
              <w:rPr>
                <w:rFonts w:cs="Arial"/>
                <w:sz w:val="12"/>
                <w:szCs w:val="16"/>
              </w:rPr>
              <w:t>13</w:t>
            </w:r>
          </w:p>
        </w:tc>
      </w:tr>
      <w:tr w:rsidR="005868E5" w:rsidRPr="00BC665D" w14:paraId="1FE66502" w14:textId="77777777" w:rsidTr="005868E5">
        <w:trPr>
          <w:tblCellSpacing w:w="20" w:type="dxa"/>
        </w:trPr>
        <w:tc>
          <w:tcPr>
            <w:tcW w:w="2339" w:type="dxa"/>
          </w:tcPr>
          <w:p w14:paraId="1F7822F6" w14:textId="38A72528" w:rsidR="005868E5" w:rsidRPr="005868E5" w:rsidRDefault="005868E5" w:rsidP="005868E5">
            <w:pPr>
              <w:jc w:val="center"/>
              <w:rPr>
                <w:rFonts w:cs="Arial"/>
                <w:b/>
                <w:sz w:val="12"/>
                <w:szCs w:val="16"/>
              </w:rPr>
            </w:pPr>
            <w:r w:rsidRPr="005868E5">
              <w:rPr>
                <w:rFonts w:cs="Arial"/>
                <w:b/>
                <w:sz w:val="12"/>
                <w:szCs w:val="16"/>
              </w:rPr>
              <w:t>1300</w:t>
            </w:r>
          </w:p>
        </w:tc>
        <w:tc>
          <w:tcPr>
            <w:tcW w:w="2340" w:type="dxa"/>
          </w:tcPr>
          <w:p w14:paraId="5EE204FE" w14:textId="1496BD45" w:rsidR="005868E5" w:rsidRPr="005868E5" w:rsidRDefault="005868E5" w:rsidP="005868E5">
            <w:pPr>
              <w:jc w:val="center"/>
              <w:rPr>
                <w:rFonts w:cs="Arial"/>
                <w:sz w:val="12"/>
                <w:szCs w:val="16"/>
              </w:rPr>
            </w:pPr>
            <w:r w:rsidRPr="005868E5">
              <w:rPr>
                <w:rFonts w:cs="Arial"/>
                <w:sz w:val="12"/>
                <w:szCs w:val="16"/>
              </w:rPr>
              <w:t>16</w:t>
            </w:r>
          </w:p>
        </w:tc>
      </w:tr>
      <w:tr w:rsidR="005868E5" w:rsidRPr="00BC665D" w14:paraId="0C878CD3" w14:textId="77777777" w:rsidTr="005868E5">
        <w:trPr>
          <w:tblCellSpacing w:w="20" w:type="dxa"/>
        </w:trPr>
        <w:tc>
          <w:tcPr>
            <w:tcW w:w="2339" w:type="dxa"/>
            <w:shd w:val="clear" w:color="auto" w:fill="A6A6A6" w:themeFill="background1" w:themeFillShade="A6"/>
          </w:tcPr>
          <w:p w14:paraId="64BDC44F" w14:textId="7F4943F9" w:rsidR="005868E5" w:rsidRPr="005868E5" w:rsidRDefault="005868E5" w:rsidP="005868E5">
            <w:pPr>
              <w:jc w:val="center"/>
              <w:rPr>
                <w:rFonts w:cs="Arial"/>
                <w:b/>
                <w:sz w:val="12"/>
                <w:szCs w:val="16"/>
              </w:rPr>
            </w:pPr>
            <w:r w:rsidRPr="005868E5">
              <w:rPr>
                <w:rFonts w:cs="Arial"/>
                <w:b/>
                <w:sz w:val="12"/>
                <w:szCs w:val="16"/>
              </w:rPr>
              <w:t>1650</w:t>
            </w:r>
          </w:p>
        </w:tc>
        <w:tc>
          <w:tcPr>
            <w:tcW w:w="2340" w:type="dxa"/>
            <w:shd w:val="clear" w:color="auto" w:fill="A6A6A6" w:themeFill="background1" w:themeFillShade="A6"/>
          </w:tcPr>
          <w:p w14:paraId="5F20E895" w14:textId="75E7C1B4" w:rsidR="005868E5" w:rsidRPr="005868E5" w:rsidRDefault="005868E5" w:rsidP="005868E5">
            <w:pPr>
              <w:jc w:val="center"/>
              <w:rPr>
                <w:rFonts w:cs="Arial"/>
                <w:sz w:val="12"/>
                <w:szCs w:val="16"/>
              </w:rPr>
            </w:pPr>
            <w:r w:rsidRPr="005868E5">
              <w:rPr>
                <w:rFonts w:cs="Arial"/>
                <w:sz w:val="12"/>
                <w:szCs w:val="16"/>
              </w:rPr>
              <w:t>18</w:t>
            </w:r>
          </w:p>
        </w:tc>
      </w:tr>
      <w:tr w:rsidR="005868E5" w:rsidRPr="00BC665D" w14:paraId="324FD74A" w14:textId="77777777" w:rsidTr="005868E5">
        <w:trPr>
          <w:tblCellSpacing w:w="20" w:type="dxa"/>
        </w:trPr>
        <w:tc>
          <w:tcPr>
            <w:tcW w:w="2339" w:type="dxa"/>
          </w:tcPr>
          <w:p w14:paraId="47323552" w14:textId="38C19C7F" w:rsidR="005868E5" w:rsidRPr="005868E5" w:rsidRDefault="005868E5" w:rsidP="005868E5">
            <w:pPr>
              <w:jc w:val="center"/>
              <w:rPr>
                <w:rFonts w:cs="Arial"/>
                <w:b/>
                <w:sz w:val="12"/>
                <w:szCs w:val="16"/>
              </w:rPr>
            </w:pPr>
            <w:r w:rsidRPr="005868E5">
              <w:rPr>
                <w:rFonts w:cs="Arial"/>
                <w:b/>
                <w:sz w:val="12"/>
                <w:szCs w:val="16"/>
              </w:rPr>
              <w:t>2000</w:t>
            </w:r>
          </w:p>
        </w:tc>
        <w:tc>
          <w:tcPr>
            <w:tcW w:w="2340" w:type="dxa"/>
          </w:tcPr>
          <w:p w14:paraId="6C346D3E" w14:textId="56FF0BBA" w:rsidR="005868E5" w:rsidRPr="005868E5" w:rsidRDefault="005868E5" w:rsidP="005868E5">
            <w:pPr>
              <w:jc w:val="center"/>
              <w:rPr>
                <w:rFonts w:cs="Arial"/>
                <w:sz w:val="12"/>
                <w:szCs w:val="16"/>
              </w:rPr>
            </w:pPr>
            <w:r w:rsidRPr="005868E5">
              <w:rPr>
                <w:rFonts w:cs="Arial"/>
                <w:sz w:val="12"/>
                <w:szCs w:val="16"/>
              </w:rPr>
              <w:t>21</w:t>
            </w:r>
          </w:p>
        </w:tc>
      </w:tr>
      <w:tr w:rsidR="005868E5" w:rsidRPr="00BC665D" w14:paraId="70BE6676" w14:textId="77777777" w:rsidTr="005868E5">
        <w:trPr>
          <w:tblCellSpacing w:w="20" w:type="dxa"/>
        </w:trPr>
        <w:tc>
          <w:tcPr>
            <w:tcW w:w="2339" w:type="dxa"/>
            <w:shd w:val="clear" w:color="auto" w:fill="A6A6A6" w:themeFill="background1" w:themeFillShade="A6"/>
          </w:tcPr>
          <w:p w14:paraId="3C02FDC9" w14:textId="769D837C" w:rsidR="005868E5" w:rsidRPr="005868E5" w:rsidRDefault="005868E5" w:rsidP="005868E5">
            <w:pPr>
              <w:jc w:val="center"/>
              <w:rPr>
                <w:rFonts w:cs="Arial"/>
                <w:b/>
                <w:sz w:val="12"/>
                <w:szCs w:val="16"/>
              </w:rPr>
            </w:pPr>
            <w:r w:rsidRPr="005868E5">
              <w:rPr>
                <w:rFonts w:cs="Arial"/>
                <w:b/>
                <w:sz w:val="12"/>
                <w:szCs w:val="16"/>
              </w:rPr>
              <w:t>2500</w:t>
            </w:r>
          </w:p>
        </w:tc>
        <w:tc>
          <w:tcPr>
            <w:tcW w:w="2340" w:type="dxa"/>
            <w:shd w:val="clear" w:color="auto" w:fill="A6A6A6" w:themeFill="background1" w:themeFillShade="A6"/>
          </w:tcPr>
          <w:p w14:paraId="59CEE1EF" w14:textId="1171C9CC" w:rsidR="005868E5" w:rsidRPr="005868E5" w:rsidRDefault="005868E5" w:rsidP="005868E5">
            <w:pPr>
              <w:jc w:val="center"/>
              <w:rPr>
                <w:rFonts w:cs="Arial"/>
                <w:sz w:val="12"/>
                <w:szCs w:val="16"/>
              </w:rPr>
            </w:pPr>
            <w:r w:rsidRPr="005868E5">
              <w:rPr>
                <w:rFonts w:cs="Arial"/>
                <w:sz w:val="12"/>
                <w:szCs w:val="16"/>
              </w:rPr>
              <w:t>26</w:t>
            </w:r>
          </w:p>
        </w:tc>
      </w:tr>
      <w:tr w:rsidR="005868E5" w:rsidRPr="00BC665D" w14:paraId="7F40CE6A" w14:textId="77777777" w:rsidTr="005868E5">
        <w:trPr>
          <w:tblCellSpacing w:w="20" w:type="dxa"/>
        </w:trPr>
        <w:tc>
          <w:tcPr>
            <w:tcW w:w="2339" w:type="dxa"/>
          </w:tcPr>
          <w:p w14:paraId="536DB87F" w14:textId="13CA139A" w:rsidR="005868E5" w:rsidRPr="005868E5" w:rsidRDefault="005868E5" w:rsidP="005868E5">
            <w:pPr>
              <w:jc w:val="center"/>
              <w:rPr>
                <w:rFonts w:cs="Arial"/>
                <w:b/>
                <w:sz w:val="12"/>
                <w:szCs w:val="16"/>
              </w:rPr>
            </w:pPr>
            <w:r w:rsidRPr="005868E5">
              <w:rPr>
                <w:rFonts w:cs="Arial"/>
                <w:b/>
                <w:sz w:val="12"/>
                <w:szCs w:val="16"/>
              </w:rPr>
              <w:t>3000</w:t>
            </w:r>
          </w:p>
        </w:tc>
        <w:tc>
          <w:tcPr>
            <w:tcW w:w="2340" w:type="dxa"/>
          </w:tcPr>
          <w:p w14:paraId="334BD540" w14:textId="555747D0" w:rsidR="005868E5" w:rsidRPr="005868E5" w:rsidRDefault="005868E5" w:rsidP="005868E5">
            <w:pPr>
              <w:jc w:val="center"/>
              <w:rPr>
                <w:rFonts w:cs="Arial"/>
                <w:sz w:val="12"/>
                <w:szCs w:val="16"/>
              </w:rPr>
            </w:pPr>
            <w:r w:rsidRPr="005868E5">
              <w:rPr>
                <w:rFonts w:cs="Arial"/>
                <w:sz w:val="12"/>
                <w:szCs w:val="16"/>
              </w:rPr>
              <w:t>30</w:t>
            </w:r>
          </w:p>
        </w:tc>
      </w:tr>
      <w:tr w:rsidR="005868E5" w:rsidRPr="00BC665D" w14:paraId="7D5B9EC5" w14:textId="77777777" w:rsidTr="005868E5">
        <w:trPr>
          <w:tblCellSpacing w:w="20" w:type="dxa"/>
        </w:trPr>
        <w:tc>
          <w:tcPr>
            <w:tcW w:w="2339" w:type="dxa"/>
            <w:shd w:val="clear" w:color="auto" w:fill="A6A6A6" w:themeFill="background1" w:themeFillShade="A6"/>
          </w:tcPr>
          <w:p w14:paraId="43EBD9EC" w14:textId="3EAFB9E3" w:rsidR="005868E5" w:rsidRPr="005868E5" w:rsidRDefault="005868E5" w:rsidP="005868E5">
            <w:pPr>
              <w:jc w:val="center"/>
              <w:rPr>
                <w:rFonts w:cs="Arial"/>
                <w:b/>
                <w:sz w:val="12"/>
                <w:szCs w:val="16"/>
              </w:rPr>
            </w:pPr>
            <w:r w:rsidRPr="005868E5">
              <w:rPr>
                <w:rFonts w:cs="Arial"/>
                <w:b/>
                <w:sz w:val="12"/>
                <w:szCs w:val="16"/>
              </w:rPr>
              <w:t>3500</w:t>
            </w:r>
          </w:p>
        </w:tc>
        <w:tc>
          <w:tcPr>
            <w:tcW w:w="2340" w:type="dxa"/>
            <w:shd w:val="clear" w:color="auto" w:fill="A6A6A6" w:themeFill="background1" w:themeFillShade="A6"/>
          </w:tcPr>
          <w:p w14:paraId="4A1406F4" w14:textId="106AD2F4" w:rsidR="005868E5" w:rsidRPr="005868E5" w:rsidRDefault="005868E5" w:rsidP="005868E5">
            <w:pPr>
              <w:jc w:val="center"/>
              <w:rPr>
                <w:rFonts w:cs="Arial"/>
                <w:sz w:val="12"/>
                <w:szCs w:val="16"/>
              </w:rPr>
            </w:pPr>
            <w:r w:rsidRPr="005868E5">
              <w:rPr>
                <w:rFonts w:cs="Arial"/>
                <w:sz w:val="12"/>
                <w:szCs w:val="16"/>
              </w:rPr>
              <w:t>35</w:t>
            </w:r>
          </w:p>
        </w:tc>
      </w:tr>
      <w:tr w:rsidR="005868E5" w:rsidRPr="00BC665D" w14:paraId="5E885EC6" w14:textId="77777777" w:rsidTr="005868E5">
        <w:trPr>
          <w:tblCellSpacing w:w="20" w:type="dxa"/>
        </w:trPr>
        <w:tc>
          <w:tcPr>
            <w:tcW w:w="2339" w:type="dxa"/>
          </w:tcPr>
          <w:p w14:paraId="3EE6ED7E" w14:textId="767B16E6" w:rsidR="005868E5" w:rsidRPr="005868E5" w:rsidRDefault="005868E5" w:rsidP="005868E5">
            <w:pPr>
              <w:jc w:val="center"/>
              <w:rPr>
                <w:rFonts w:cs="Arial"/>
                <w:b/>
                <w:sz w:val="12"/>
                <w:szCs w:val="16"/>
              </w:rPr>
            </w:pPr>
            <w:r w:rsidRPr="005868E5">
              <w:rPr>
                <w:rFonts w:cs="Arial"/>
                <w:b/>
                <w:sz w:val="12"/>
                <w:szCs w:val="16"/>
              </w:rPr>
              <w:t>4000</w:t>
            </w:r>
          </w:p>
        </w:tc>
        <w:tc>
          <w:tcPr>
            <w:tcW w:w="2340" w:type="dxa"/>
          </w:tcPr>
          <w:p w14:paraId="3C31D36A" w14:textId="6D2B8CB1" w:rsidR="005868E5" w:rsidRPr="005868E5" w:rsidRDefault="005868E5" w:rsidP="005868E5">
            <w:pPr>
              <w:jc w:val="center"/>
              <w:rPr>
                <w:rFonts w:cs="Arial"/>
                <w:sz w:val="12"/>
                <w:szCs w:val="16"/>
              </w:rPr>
            </w:pPr>
            <w:r w:rsidRPr="005868E5">
              <w:rPr>
                <w:rFonts w:cs="Arial"/>
                <w:sz w:val="12"/>
                <w:szCs w:val="16"/>
              </w:rPr>
              <w:t>40</w:t>
            </w:r>
          </w:p>
        </w:tc>
      </w:tr>
      <w:tr w:rsidR="005868E5" w:rsidRPr="00BC665D" w14:paraId="01A097F9" w14:textId="77777777" w:rsidTr="005868E5">
        <w:trPr>
          <w:tblCellSpacing w:w="20" w:type="dxa"/>
        </w:trPr>
        <w:tc>
          <w:tcPr>
            <w:tcW w:w="2339" w:type="dxa"/>
            <w:shd w:val="clear" w:color="auto" w:fill="A6A6A6" w:themeFill="background1" w:themeFillShade="A6"/>
          </w:tcPr>
          <w:p w14:paraId="30A8C6E5" w14:textId="6B2A62CC" w:rsidR="005868E5" w:rsidRPr="005868E5" w:rsidRDefault="005868E5" w:rsidP="005868E5">
            <w:pPr>
              <w:jc w:val="center"/>
              <w:rPr>
                <w:rFonts w:cs="Arial"/>
                <w:b/>
                <w:sz w:val="12"/>
                <w:szCs w:val="16"/>
              </w:rPr>
            </w:pPr>
            <w:r w:rsidRPr="005868E5">
              <w:rPr>
                <w:rFonts w:cs="Arial"/>
                <w:b/>
                <w:sz w:val="12"/>
                <w:szCs w:val="16"/>
              </w:rPr>
              <w:t>4500</w:t>
            </w:r>
          </w:p>
        </w:tc>
        <w:tc>
          <w:tcPr>
            <w:tcW w:w="2340" w:type="dxa"/>
            <w:shd w:val="clear" w:color="auto" w:fill="A6A6A6" w:themeFill="background1" w:themeFillShade="A6"/>
          </w:tcPr>
          <w:p w14:paraId="55E3076C" w14:textId="3AC14907" w:rsidR="005868E5" w:rsidRPr="005868E5" w:rsidRDefault="005868E5" w:rsidP="005868E5">
            <w:pPr>
              <w:jc w:val="center"/>
              <w:rPr>
                <w:rFonts w:cs="Arial"/>
                <w:sz w:val="12"/>
                <w:szCs w:val="16"/>
              </w:rPr>
            </w:pPr>
            <w:r w:rsidRPr="005868E5">
              <w:rPr>
                <w:rFonts w:cs="Arial"/>
                <w:sz w:val="12"/>
                <w:szCs w:val="16"/>
              </w:rPr>
              <w:t>45</w:t>
            </w:r>
          </w:p>
        </w:tc>
      </w:tr>
      <w:tr w:rsidR="005868E5" w:rsidRPr="00BC665D" w14:paraId="6D284E04" w14:textId="77777777" w:rsidTr="005868E5">
        <w:trPr>
          <w:tblCellSpacing w:w="20" w:type="dxa"/>
        </w:trPr>
        <w:tc>
          <w:tcPr>
            <w:tcW w:w="2339" w:type="dxa"/>
          </w:tcPr>
          <w:p w14:paraId="08F2E7DA" w14:textId="541D2604" w:rsidR="005868E5" w:rsidRPr="005868E5" w:rsidRDefault="005868E5" w:rsidP="005868E5">
            <w:pPr>
              <w:jc w:val="center"/>
              <w:rPr>
                <w:rFonts w:cs="Arial"/>
                <w:b/>
                <w:sz w:val="12"/>
                <w:szCs w:val="16"/>
              </w:rPr>
            </w:pPr>
            <w:r w:rsidRPr="005868E5">
              <w:rPr>
                <w:rFonts w:cs="Arial"/>
                <w:b/>
                <w:sz w:val="12"/>
                <w:szCs w:val="16"/>
              </w:rPr>
              <w:t>5000</w:t>
            </w:r>
          </w:p>
        </w:tc>
        <w:tc>
          <w:tcPr>
            <w:tcW w:w="2340" w:type="dxa"/>
          </w:tcPr>
          <w:p w14:paraId="69B5591B" w14:textId="241B6C95" w:rsidR="005868E5" w:rsidRPr="005868E5" w:rsidRDefault="005868E5" w:rsidP="005868E5">
            <w:pPr>
              <w:jc w:val="center"/>
              <w:rPr>
                <w:rFonts w:cs="Arial"/>
                <w:sz w:val="12"/>
                <w:szCs w:val="16"/>
              </w:rPr>
            </w:pPr>
            <w:r w:rsidRPr="005868E5">
              <w:rPr>
                <w:rFonts w:cs="Arial"/>
                <w:sz w:val="12"/>
                <w:szCs w:val="16"/>
              </w:rPr>
              <w:t>50</w:t>
            </w:r>
          </w:p>
        </w:tc>
      </w:tr>
      <w:tr w:rsidR="005868E5" w:rsidRPr="00BC665D" w14:paraId="620B980D" w14:textId="77777777" w:rsidTr="005868E5">
        <w:trPr>
          <w:tblCellSpacing w:w="20" w:type="dxa"/>
        </w:trPr>
        <w:tc>
          <w:tcPr>
            <w:tcW w:w="2339" w:type="dxa"/>
            <w:shd w:val="clear" w:color="auto" w:fill="A6A6A6" w:themeFill="background1" w:themeFillShade="A6"/>
          </w:tcPr>
          <w:p w14:paraId="3E45D282" w14:textId="7D4855AB" w:rsidR="005868E5" w:rsidRPr="005868E5" w:rsidRDefault="005868E5" w:rsidP="005868E5">
            <w:pPr>
              <w:jc w:val="center"/>
              <w:rPr>
                <w:rFonts w:cs="Arial"/>
                <w:b/>
                <w:sz w:val="12"/>
                <w:szCs w:val="16"/>
              </w:rPr>
            </w:pPr>
            <w:r w:rsidRPr="005868E5">
              <w:rPr>
                <w:rFonts w:cs="Arial"/>
                <w:b/>
                <w:sz w:val="12"/>
                <w:szCs w:val="16"/>
              </w:rPr>
              <w:t>5500</w:t>
            </w:r>
          </w:p>
        </w:tc>
        <w:tc>
          <w:tcPr>
            <w:tcW w:w="2340" w:type="dxa"/>
            <w:shd w:val="clear" w:color="auto" w:fill="A6A6A6" w:themeFill="background1" w:themeFillShade="A6"/>
          </w:tcPr>
          <w:p w14:paraId="17A9A42A" w14:textId="4B215E34" w:rsidR="005868E5" w:rsidRPr="005868E5" w:rsidRDefault="005868E5" w:rsidP="005868E5">
            <w:pPr>
              <w:jc w:val="center"/>
              <w:rPr>
                <w:rFonts w:cs="Arial"/>
                <w:sz w:val="12"/>
                <w:szCs w:val="16"/>
              </w:rPr>
            </w:pPr>
            <w:r w:rsidRPr="005868E5">
              <w:rPr>
                <w:rFonts w:cs="Arial"/>
                <w:sz w:val="12"/>
                <w:szCs w:val="16"/>
              </w:rPr>
              <w:t>55</w:t>
            </w:r>
          </w:p>
        </w:tc>
      </w:tr>
      <w:tr w:rsidR="005868E5" w:rsidRPr="00BC665D" w14:paraId="762837AA" w14:textId="77777777" w:rsidTr="005868E5">
        <w:trPr>
          <w:tblCellSpacing w:w="20" w:type="dxa"/>
        </w:trPr>
        <w:tc>
          <w:tcPr>
            <w:tcW w:w="2339" w:type="dxa"/>
          </w:tcPr>
          <w:p w14:paraId="71D51EC9" w14:textId="5B0B88BD" w:rsidR="005868E5" w:rsidRPr="005868E5" w:rsidRDefault="005868E5" w:rsidP="005868E5">
            <w:pPr>
              <w:jc w:val="center"/>
              <w:rPr>
                <w:rFonts w:cs="Arial"/>
                <w:b/>
                <w:sz w:val="12"/>
                <w:szCs w:val="16"/>
              </w:rPr>
            </w:pPr>
            <w:r w:rsidRPr="005868E5">
              <w:rPr>
                <w:rFonts w:cs="Arial"/>
                <w:b/>
                <w:sz w:val="12"/>
                <w:szCs w:val="16"/>
              </w:rPr>
              <w:t>6000</w:t>
            </w:r>
          </w:p>
        </w:tc>
        <w:tc>
          <w:tcPr>
            <w:tcW w:w="2340" w:type="dxa"/>
          </w:tcPr>
          <w:p w14:paraId="180AECB9" w14:textId="5A27D512" w:rsidR="005868E5" w:rsidRPr="005868E5" w:rsidRDefault="005868E5" w:rsidP="005868E5">
            <w:pPr>
              <w:jc w:val="center"/>
              <w:rPr>
                <w:rFonts w:cs="Arial"/>
                <w:sz w:val="12"/>
                <w:szCs w:val="16"/>
              </w:rPr>
            </w:pPr>
            <w:r w:rsidRPr="005868E5">
              <w:rPr>
                <w:rFonts w:cs="Arial"/>
                <w:sz w:val="12"/>
                <w:szCs w:val="16"/>
              </w:rPr>
              <w:t>60</w:t>
            </w:r>
          </w:p>
        </w:tc>
      </w:tr>
      <w:tr w:rsidR="005868E5" w:rsidRPr="00BC665D" w14:paraId="54A02763" w14:textId="77777777" w:rsidTr="005868E5">
        <w:trPr>
          <w:tblCellSpacing w:w="20" w:type="dxa"/>
        </w:trPr>
        <w:tc>
          <w:tcPr>
            <w:tcW w:w="2339" w:type="dxa"/>
            <w:shd w:val="clear" w:color="auto" w:fill="A6A6A6" w:themeFill="background1" w:themeFillShade="A6"/>
          </w:tcPr>
          <w:p w14:paraId="7FEC7961" w14:textId="6489B22B" w:rsidR="005868E5" w:rsidRPr="005868E5" w:rsidRDefault="005868E5" w:rsidP="005868E5">
            <w:pPr>
              <w:jc w:val="center"/>
              <w:rPr>
                <w:rFonts w:cs="Arial"/>
                <w:b/>
                <w:sz w:val="12"/>
                <w:szCs w:val="16"/>
              </w:rPr>
            </w:pPr>
            <w:r w:rsidRPr="005868E5">
              <w:rPr>
                <w:rFonts w:cs="Arial"/>
                <w:b/>
                <w:sz w:val="12"/>
                <w:szCs w:val="16"/>
              </w:rPr>
              <w:t>6500</w:t>
            </w:r>
          </w:p>
        </w:tc>
        <w:tc>
          <w:tcPr>
            <w:tcW w:w="2340" w:type="dxa"/>
            <w:shd w:val="clear" w:color="auto" w:fill="A6A6A6" w:themeFill="background1" w:themeFillShade="A6"/>
          </w:tcPr>
          <w:p w14:paraId="2DF96B8F" w14:textId="4525E7C2" w:rsidR="005868E5" w:rsidRPr="005868E5" w:rsidRDefault="005868E5" w:rsidP="005868E5">
            <w:pPr>
              <w:jc w:val="center"/>
              <w:rPr>
                <w:rFonts w:cs="Arial"/>
                <w:sz w:val="12"/>
                <w:szCs w:val="16"/>
              </w:rPr>
            </w:pPr>
            <w:r w:rsidRPr="005868E5">
              <w:rPr>
                <w:rFonts w:cs="Arial"/>
                <w:sz w:val="12"/>
                <w:szCs w:val="16"/>
              </w:rPr>
              <w:t>65</w:t>
            </w:r>
          </w:p>
        </w:tc>
      </w:tr>
      <w:tr w:rsidR="005868E5" w:rsidRPr="00BC665D" w14:paraId="267C4F2B" w14:textId="77777777" w:rsidTr="005868E5">
        <w:trPr>
          <w:tblCellSpacing w:w="20" w:type="dxa"/>
        </w:trPr>
        <w:tc>
          <w:tcPr>
            <w:tcW w:w="2339" w:type="dxa"/>
          </w:tcPr>
          <w:p w14:paraId="1F13E406" w14:textId="118510F6" w:rsidR="005868E5" w:rsidRPr="005868E5" w:rsidRDefault="005868E5" w:rsidP="005868E5">
            <w:pPr>
              <w:jc w:val="center"/>
              <w:rPr>
                <w:rFonts w:cs="Arial"/>
                <w:b/>
                <w:sz w:val="12"/>
                <w:szCs w:val="16"/>
              </w:rPr>
            </w:pPr>
            <w:r w:rsidRPr="005868E5">
              <w:rPr>
                <w:rFonts w:cs="Arial"/>
                <w:b/>
                <w:sz w:val="12"/>
                <w:szCs w:val="16"/>
              </w:rPr>
              <w:t>7000</w:t>
            </w:r>
          </w:p>
        </w:tc>
        <w:tc>
          <w:tcPr>
            <w:tcW w:w="2340" w:type="dxa"/>
          </w:tcPr>
          <w:p w14:paraId="591F7299" w14:textId="5A38DD9C" w:rsidR="005868E5" w:rsidRPr="005868E5" w:rsidRDefault="005868E5" w:rsidP="005868E5">
            <w:pPr>
              <w:jc w:val="center"/>
              <w:rPr>
                <w:rFonts w:cs="Arial"/>
                <w:sz w:val="12"/>
                <w:szCs w:val="16"/>
              </w:rPr>
            </w:pPr>
            <w:r w:rsidRPr="005868E5">
              <w:rPr>
                <w:rFonts w:cs="Arial"/>
                <w:sz w:val="12"/>
                <w:szCs w:val="16"/>
              </w:rPr>
              <w:t>70</w:t>
            </w:r>
          </w:p>
        </w:tc>
      </w:tr>
      <w:tr w:rsidR="005868E5" w:rsidRPr="00BC665D" w14:paraId="0692F336" w14:textId="77777777" w:rsidTr="005868E5">
        <w:trPr>
          <w:tblCellSpacing w:w="20" w:type="dxa"/>
        </w:trPr>
        <w:tc>
          <w:tcPr>
            <w:tcW w:w="2339" w:type="dxa"/>
            <w:shd w:val="clear" w:color="auto" w:fill="A6A6A6" w:themeFill="background1" w:themeFillShade="A6"/>
          </w:tcPr>
          <w:p w14:paraId="09F5FA91" w14:textId="66F7EE74" w:rsidR="005868E5" w:rsidRPr="005868E5" w:rsidRDefault="005868E5" w:rsidP="005868E5">
            <w:pPr>
              <w:jc w:val="center"/>
              <w:rPr>
                <w:rFonts w:cs="Arial"/>
                <w:b/>
                <w:sz w:val="12"/>
                <w:szCs w:val="16"/>
              </w:rPr>
            </w:pPr>
            <w:r w:rsidRPr="005868E5">
              <w:rPr>
                <w:rFonts w:cs="Arial"/>
                <w:b/>
                <w:sz w:val="12"/>
                <w:szCs w:val="16"/>
              </w:rPr>
              <w:t>7500</w:t>
            </w:r>
          </w:p>
        </w:tc>
        <w:tc>
          <w:tcPr>
            <w:tcW w:w="2340" w:type="dxa"/>
            <w:shd w:val="clear" w:color="auto" w:fill="A6A6A6" w:themeFill="background1" w:themeFillShade="A6"/>
          </w:tcPr>
          <w:p w14:paraId="3C9A4D44" w14:textId="529A853C" w:rsidR="005868E5" w:rsidRPr="005868E5" w:rsidRDefault="005868E5" w:rsidP="005868E5">
            <w:pPr>
              <w:jc w:val="center"/>
              <w:rPr>
                <w:rFonts w:cs="Arial"/>
                <w:sz w:val="12"/>
                <w:szCs w:val="16"/>
              </w:rPr>
            </w:pPr>
            <w:r w:rsidRPr="005868E5">
              <w:rPr>
                <w:rFonts w:cs="Arial"/>
                <w:sz w:val="12"/>
                <w:szCs w:val="16"/>
              </w:rPr>
              <w:t>75</w:t>
            </w:r>
          </w:p>
        </w:tc>
      </w:tr>
      <w:tr w:rsidR="005868E5" w:rsidRPr="00BC665D" w14:paraId="7265991C" w14:textId="77777777" w:rsidTr="005868E5">
        <w:trPr>
          <w:tblCellSpacing w:w="20" w:type="dxa"/>
        </w:trPr>
        <w:tc>
          <w:tcPr>
            <w:tcW w:w="2339" w:type="dxa"/>
          </w:tcPr>
          <w:p w14:paraId="4E89195C" w14:textId="486D3265" w:rsidR="005868E5" w:rsidRPr="005868E5" w:rsidRDefault="005868E5" w:rsidP="005868E5">
            <w:pPr>
              <w:jc w:val="center"/>
              <w:rPr>
                <w:rFonts w:cs="Arial"/>
                <w:b/>
                <w:sz w:val="12"/>
                <w:szCs w:val="16"/>
              </w:rPr>
            </w:pPr>
            <w:r w:rsidRPr="005868E5">
              <w:rPr>
                <w:rFonts w:cs="Arial"/>
                <w:b/>
                <w:sz w:val="12"/>
                <w:szCs w:val="16"/>
              </w:rPr>
              <w:t>8000</w:t>
            </w:r>
          </w:p>
        </w:tc>
        <w:tc>
          <w:tcPr>
            <w:tcW w:w="2340" w:type="dxa"/>
          </w:tcPr>
          <w:p w14:paraId="7C9EC7D8" w14:textId="0CF6274A" w:rsidR="005868E5" w:rsidRPr="005868E5" w:rsidRDefault="005868E5" w:rsidP="005868E5">
            <w:pPr>
              <w:jc w:val="center"/>
              <w:rPr>
                <w:rFonts w:cs="Arial"/>
                <w:sz w:val="12"/>
                <w:szCs w:val="16"/>
              </w:rPr>
            </w:pPr>
            <w:r w:rsidRPr="005868E5">
              <w:rPr>
                <w:rFonts w:cs="Arial"/>
                <w:sz w:val="12"/>
                <w:szCs w:val="16"/>
              </w:rPr>
              <w:t>80</w:t>
            </w:r>
          </w:p>
        </w:tc>
      </w:tr>
    </w:tbl>
    <w:p w14:paraId="67C407B6" w14:textId="580566E2" w:rsidR="005868E5" w:rsidRDefault="005868E5" w:rsidP="00B96AD3">
      <w:pPr>
        <w:ind w:left="-76"/>
      </w:pPr>
    </w:p>
    <w:p w14:paraId="32C21EA2" w14:textId="25376A22" w:rsidR="00B96AD3" w:rsidRDefault="005868E5" w:rsidP="005868E5">
      <w:pPr>
        <w:pStyle w:val="Heading3"/>
      </w:pPr>
      <w:r>
        <w:t xml:space="preserve"> </w:t>
      </w:r>
      <w:r w:rsidR="00B96AD3">
        <w:t xml:space="preserve">Utilisation </w:t>
      </w:r>
    </w:p>
    <w:p w14:paraId="7CA13D46" w14:textId="1A32003E" w:rsidR="00B96AD3" w:rsidRDefault="00B96AD3" w:rsidP="00B96AD3">
      <w:pPr>
        <w:ind w:left="-76"/>
      </w:pPr>
      <w:r>
        <w:t>In the event that the channels are not fully utilised Node4 have the right to review the number of Channels allocated to the Customer.</w:t>
      </w:r>
    </w:p>
    <w:p w14:paraId="43D62F30" w14:textId="00E89C46" w:rsidR="00B96AD3" w:rsidRDefault="004318B1" w:rsidP="005868E5">
      <w:pPr>
        <w:pStyle w:val="Heading3"/>
      </w:pPr>
      <w:r>
        <w:t xml:space="preserve"> </w:t>
      </w:r>
      <w:r w:rsidR="00B96AD3" w:rsidRPr="005868E5">
        <w:t>Customer</w:t>
      </w:r>
      <w:r w:rsidR="00B96AD3">
        <w:t xml:space="preserve"> </w:t>
      </w:r>
      <w:r w:rsidR="00115DD3">
        <w:t>s</w:t>
      </w:r>
      <w:r w:rsidR="00B96AD3">
        <w:t>upport</w:t>
      </w:r>
    </w:p>
    <w:p w14:paraId="164E31E2" w14:textId="1EEF986F" w:rsidR="00B96AD3" w:rsidRDefault="00B96AD3" w:rsidP="00B96AD3">
      <w:pPr>
        <w:ind w:left="-76"/>
      </w:pPr>
      <w:r>
        <w:t xml:space="preserve">Unless otherwise stated on the Order Form Bronze level support, as identified in the Fault Management and Reporting Handbook current from time to time, is provided on </w:t>
      </w:r>
      <w:proofErr w:type="spellStart"/>
      <w:r w:rsidR="00FB1AA9">
        <w:t>SIPLink</w:t>
      </w:r>
      <w:proofErr w:type="spellEnd"/>
      <w:r>
        <w:t xml:space="preserve"> Services. Node4 provides the </w:t>
      </w:r>
      <w:proofErr w:type="spellStart"/>
      <w:r w:rsidR="00FB1AA9">
        <w:t>SIPLink</w:t>
      </w:r>
      <w:proofErr w:type="spellEnd"/>
      <w:r>
        <w:t xml:space="preserve"> Services direct to the Customer. The Customer commits to fully manage all their customers and suppliers directly. Node4 will not interface directly with any third parties working with the Customer. If </w:t>
      </w:r>
      <w:r>
        <w:t xml:space="preserve">the Customer requires Node4 to provide their customers with a customer care or </w:t>
      </w:r>
      <w:proofErr w:type="spellStart"/>
      <w:r>
        <w:t>NOC</w:t>
      </w:r>
      <w:proofErr w:type="spellEnd"/>
      <w:r>
        <w:t xml:space="preserve"> service this is available on request and subject to Professional Service Fees.</w:t>
      </w:r>
    </w:p>
    <w:p w14:paraId="46125608" w14:textId="63934A85" w:rsidR="00B96AD3" w:rsidRDefault="004318B1" w:rsidP="004318B1">
      <w:pPr>
        <w:pStyle w:val="Heading3"/>
      </w:pPr>
      <w:r>
        <w:t xml:space="preserve"> </w:t>
      </w:r>
      <w:r w:rsidR="00115DD3">
        <w:t>CDR d</w:t>
      </w:r>
      <w:r w:rsidR="00B96AD3">
        <w:t xml:space="preserve">efinition </w:t>
      </w:r>
    </w:p>
    <w:p w14:paraId="135ADE8D" w14:textId="73A760FB" w:rsidR="00B96AD3" w:rsidRDefault="00B96AD3" w:rsidP="00B96AD3">
      <w:pPr>
        <w:ind w:left="-76"/>
      </w:pPr>
      <w:proofErr w:type="spellStart"/>
      <w:r>
        <w:t>CDR’s</w:t>
      </w:r>
      <w:proofErr w:type="spellEnd"/>
      <w:r>
        <w:t xml:space="preserve"> will be placed on a secure site for the Customer to download on a monthly basis. Node4 will use reasonable endeavours to ensure that the CDR download facility is permanently available. Any faults with the CDR facilities should be reported to the Node4 </w:t>
      </w:r>
      <w:proofErr w:type="spellStart"/>
      <w:r>
        <w:t>NOC</w:t>
      </w:r>
      <w:proofErr w:type="spellEnd"/>
      <w:r>
        <w:t xml:space="preserve"> in accordance with Node4’s standard fault management procedures. Node4 do not take responsibility for the validity or accuracy of CDR values and, without limiting the generality of the foregoing, does not accept responsibility for the validity of any billing data sent by the Customer to third parties.</w:t>
      </w:r>
    </w:p>
    <w:p w14:paraId="0E8D8A7A" w14:textId="11FDA6F5" w:rsidR="00B96AD3" w:rsidRDefault="004318B1" w:rsidP="004318B1">
      <w:pPr>
        <w:pStyle w:val="Heading3"/>
      </w:pPr>
      <w:r>
        <w:t xml:space="preserve"> </w:t>
      </w:r>
      <w:r w:rsidR="00B96AD3">
        <w:t xml:space="preserve">Emergency </w:t>
      </w:r>
      <w:r w:rsidR="00115DD3">
        <w:t>s</w:t>
      </w:r>
      <w:r w:rsidR="00B96AD3">
        <w:t xml:space="preserve">ervices </w:t>
      </w:r>
    </w:p>
    <w:p w14:paraId="6C584B8A" w14:textId="6499C536" w:rsidR="00B96AD3" w:rsidRDefault="00B96AD3" w:rsidP="00B96AD3">
      <w:pPr>
        <w:ind w:left="-76"/>
      </w:pPr>
      <w:r>
        <w:t xml:space="preserve">As </w:t>
      </w:r>
      <w:proofErr w:type="spellStart"/>
      <w:r w:rsidR="00FB1AA9">
        <w:t>SIPLink</w:t>
      </w:r>
      <w:proofErr w:type="spellEnd"/>
      <w:r>
        <w:t xml:space="preserve"> allows connectivity to the UK Public Telephone Network, OFCOM requires Node4 to provide the Customer with access to emergency service operators using 999 and 112. In addition Node4 are obligated to provide (where technically feasible) the physical location of the caller. </w:t>
      </w:r>
    </w:p>
    <w:p w14:paraId="4DBCC67A" w14:textId="1256E53F" w:rsidR="00B96AD3" w:rsidRDefault="00B96AD3" w:rsidP="00B96AD3">
      <w:pPr>
        <w:ind w:left="-76"/>
      </w:pPr>
      <w:r>
        <w:t>Node4 require that each Customer should complete a “PATS Customer Request” form and send this to Node4. Node4 will then upload the relevant information to the Emergency Services Database (</w:t>
      </w:r>
      <w:proofErr w:type="spellStart"/>
      <w:r>
        <w:t>EDB</w:t>
      </w:r>
      <w:proofErr w:type="spellEnd"/>
      <w:r>
        <w:t xml:space="preserve">). The </w:t>
      </w:r>
      <w:proofErr w:type="spellStart"/>
      <w:r>
        <w:t>EDB</w:t>
      </w:r>
      <w:proofErr w:type="spellEnd"/>
      <w:r>
        <w:t xml:space="preserve"> upload process takes approximately 7 days from receipt of the request – the Customer will receive confirmation when this is complete.</w:t>
      </w:r>
    </w:p>
    <w:p w14:paraId="2AA55BF5" w14:textId="6E592D85" w:rsidR="00B96AD3" w:rsidRDefault="00B96AD3" w:rsidP="00B96AD3">
      <w:pPr>
        <w:ind w:left="-76"/>
      </w:pPr>
      <w:r>
        <w:t xml:space="preserve">Wholesale customers and Resellers are required to provide the necessary information on behalf of their customer. </w:t>
      </w:r>
    </w:p>
    <w:p w14:paraId="40AF94D5" w14:textId="6CD7CDC7" w:rsidR="00B96AD3" w:rsidRDefault="004318B1" w:rsidP="004318B1">
      <w:pPr>
        <w:pStyle w:val="Heading3"/>
      </w:pPr>
      <w:r>
        <w:t xml:space="preserve"> </w:t>
      </w:r>
      <w:r w:rsidR="00115DD3">
        <w:t>Acceptable use p</w:t>
      </w:r>
      <w:r w:rsidR="00B96AD3">
        <w:t xml:space="preserve">olicy for </w:t>
      </w:r>
      <w:proofErr w:type="spellStart"/>
      <w:r w:rsidR="00FB1AA9">
        <w:t>SIPLink</w:t>
      </w:r>
      <w:proofErr w:type="spellEnd"/>
      <w:r w:rsidR="00B96AD3">
        <w:t xml:space="preserve"> </w:t>
      </w:r>
    </w:p>
    <w:p w14:paraId="33223F46" w14:textId="035E994A" w:rsidR="00B96AD3" w:rsidRDefault="00B96AD3" w:rsidP="00B96AD3">
      <w:pPr>
        <w:ind w:left="-76"/>
      </w:pPr>
      <w:r>
        <w:t xml:space="preserve">Node4 expects customers to utilise the </w:t>
      </w:r>
      <w:proofErr w:type="spellStart"/>
      <w:r w:rsidR="00FB1AA9">
        <w:t>SIPLink</w:t>
      </w:r>
      <w:proofErr w:type="spellEnd"/>
      <w:r>
        <w:t xml:space="preserve"> service for genuine business telephony purposes. If you intend to use the services for any of the following you must gain prior agreement from Node4 otherwise service may be suspended: </w:t>
      </w:r>
    </w:p>
    <w:p w14:paraId="6FABCFEA" w14:textId="77777777" w:rsidR="004318B1" w:rsidRDefault="00B96AD3" w:rsidP="004318B1">
      <w:pPr>
        <w:pStyle w:val="ListParagraph"/>
      </w:pPr>
      <w:r>
        <w:t>Automated diallers (power diallers) that connect calls to</w:t>
      </w:r>
      <w:r w:rsidR="004318B1">
        <w:t xml:space="preserve"> an agent after call connection.</w:t>
      </w:r>
    </w:p>
    <w:p w14:paraId="01D0418F" w14:textId="64C6D54A" w:rsidR="004318B1" w:rsidRDefault="00B96AD3" w:rsidP="004318B1">
      <w:pPr>
        <w:pStyle w:val="ListParagraph"/>
      </w:pPr>
      <w:r>
        <w:t>Automated recorded anno</w:t>
      </w:r>
      <w:r w:rsidR="004318B1">
        <w:t>uncements e.g. marketing messages.</w:t>
      </w:r>
    </w:p>
    <w:p w14:paraId="554AA49D" w14:textId="506727FF" w:rsidR="0088439A" w:rsidRDefault="00B96AD3" w:rsidP="004318B1">
      <w:pPr>
        <w:pStyle w:val="ListParagraph"/>
      </w:pPr>
      <w:r>
        <w:lastRenderedPageBreak/>
        <w:t>Where the ASR (Answer to Seizure Ratio) is regularly less than 50%. This is calculated as a percentage of the number of connected calls divided b</w:t>
      </w:r>
      <w:r w:rsidR="004318B1">
        <w:t>y the number of attempted calls.</w:t>
      </w:r>
    </w:p>
    <w:p w14:paraId="06396D8E" w14:textId="07F6887F" w:rsidR="0088439A" w:rsidRPr="0088439A" w:rsidRDefault="0088439A" w:rsidP="004318B1">
      <w:pPr>
        <w:pStyle w:val="Heading3"/>
      </w:pPr>
      <w:r>
        <w:t xml:space="preserve">Maintenance </w:t>
      </w:r>
      <w:r w:rsidR="00115DD3">
        <w:t>w</w:t>
      </w:r>
      <w:r>
        <w:t xml:space="preserve">indow </w:t>
      </w:r>
    </w:p>
    <w:p w14:paraId="117403DA" w14:textId="77777777" w:rsidR="0088439A" w:rsidRDefault="0088439A" w:rsidP="0088439A">
      <w:r>
        <w:t>Where Node4 plans to perform essential works Node4 will use reasonable endeavours to perform such works during low traffic periods and will use reasonable endeavours to give the Customer at least five (5) days prior notice. In the event of an emergency or Service Affecting Fault such notice may be less than 24 hours. This is without prejudice to or limitation of the definition of Planned Outage.</w:t>
      </w:r>
    </w:p>
    <w:p w14:paraId="0449C937" w14:textId="0BB34049" w:rsidR="0088439A" w:rsidRDefault="001E6491" w:rsidP="004318B1">
      <w:pPr>
        <w:pStyle w:val="Heading3"/>
      </w:pPr>
      <w:r>
        <w:t>Professional</w:t>
      </w:r>
      <w:r w:rsidR="00115DD3">
        <w:t xml:space="preserve"> s</w:t>
      </w:r>
      <w:r w:rsidR="0088439A">
        <w:t xml:space="preserve">ervices </w:t>
      </w:r>
    </w:p>
    <w:p w14:paraId="57FE5559" w14:textId="20464374" w:rsidR="0073431C" w:rsidRDefault="0073431C" w:rsidP="0088439A">
      <w:r>
        <w:t xml:space="preserve">A full range of professional services are available to the Customer in connection with the </w:t>
      </w:r>
      <w:proofErr w:type="spellStart"/>
      <w:r w:rsidR="00FB1AA9">
        <w:t>SIPLink</w:t>
      </w:r>
      <w:proofErr w:type="spellEnd"/>
      <w:r>
        <w:t xml:space="preserve"> Services. The Professional Service Fees include but are not limited to:- </w:t>
      </w:r>
    </w:p>
    <w:p w14:paraId="6D020CC2" w14:textId="432F034E" w:rsidR="004318B1" w:rsidRDefault="004318B1" w:rsidP="004318B1">
      <w:pPr>
        <w:pStyle w:val="ListParagraph"/>
      </w:pPr>
      <w:r>
        <w:t>Routing management.</w:t>
      </w:r>
    </w:p>
    <w:p w14:paraId="0FE89A7F" w14:textId="5BC39D24" w:rsidR="004318B1" w:rsidRDefault="004318B1" w:rsidP="004318B1">
      <w:pPr>
        <w:pStyle w:val="ListParagraph"/>
      </w:pPr>
      <w:r>
        <w:t>Dial Plan and Number Management.</w:t>
      </w:r>
    </w:p>
    <w:p w14:paraId="36EE9796" w14:textId="47FA4D9D" w:rsidR="004318B1" w:rsidRDefault="0073431C" w:rsidP="004318B1">
      <w:pPr>
        <w:pStyle w:val="ListParagraph"/>
      </w:pPr>
      <w:r>
        <w:t>Security Au</w:t>
      </w:r>
      <w:r w:rsidR="004318B1">
        <w:t>dits.</w:t>
      </w:r>
    </w:p>
    <w:p w14:paraId="03E0C213" w14:textId="774DE4F1" w:rsidR="004318B1" w:rsidRDefault="0073431C" w:rsidP="004318B1">
      <w:pPr>
        <w:pStyle w:val="ListParagraph"/>
      </w:pPr>
      <w:r>
        <w:t>Provisioning and testing of Custom</w:t>
      </w:r>
      <w:r w:rsidR="004318B1">
        <w:t>er or supplier implementations.</w:t>
      </w:r>
    </w:p>
    <w:p w14:paraId="10AA50BF" w14:textId="575ECB04" w:rsidR="004318B1" w:rsidRDefault="0073431C" w:rsidP="004318B1">
      <w:pPr>
        <w:pStyle w:val="ListParagraph"/>
      </w:pPr>
      <w:r>
        <w:t>Third party cus</w:t>
      </w:r>
      <w:r w:rsidR="004318B1">
        <w:t>tomer care and fault management.</w:t>
      </w:r>
    </w:p>
    <w:p w14:paraId="77BFACBB" w14:textId="77777777" w:rsidR="004318B1" w:rsidRDefault="0073431C" w:rsidP="004318B1">
      <w:pPr>
        <w:pStyle w:val="ListParagraph"/>
      </w:pPr>
      <w:r>
        <w:t xml:space="preserve">Reporting (beyond the scope of the standard reports defined in this Schedule). </w:t>
      </w:r>
    </w:p>
    <w:p w14:paraId="2BE774AC" w14:textId="23C533E6" w:rsidR="0073431C" w:rsidRDefault="004318B1" w:rsidP="004318B1">
      <w:pPr>
        <w:pStyle w:val="ListParagraph"/>
      </w:pPr>
      <w:r>
        <w:t>Endpoint Management.</w:t>
      </w:r>
    </w:p>
    <w:p w14:paraId="50CF59BC" w14:textId="6973BF4D" w:rsidR="0088439A" w:rsidRDefault="0073431C" w:rsidP="0088439A">
      <w:r>
        <w:t>The professional services are subject to the price list below. Specific rates for large or repeat orders can be agreed on a case by case basis in writing.</w:t>
      </w:r>
    </w:p>
    <w:p w14:paraId="187EDE7E" w14:textId="2E83D539" w:rsidR="0073431C" w:rsidRDefault="0073431C" w:rsidP="0088439A">
      <w:r>
        <w:t>All incremental expenses incurred during these professional services will be passed directly to the Customer. Provisioning costs such as cabling will be discussed and agreed with the Customer in the Order Form.</w:t>
      </w:r>
    </w:p>
    <w:p w14:paraId="395E5F5F" w14:textId="1833C83E" w:rsidR="0073431C" w:rsidRDefault="0073431C" w:rsidP="004318B1">
      <w:pPr>
        <w:pStyle w:val="Heading3"/>
      </w:pPr>
      <w:r>
        <w:t>Ad</w:t>
      </w:r>
      <w:r w:rsidR="00115DD3">
        <w:t>ds, m</w:t>
      </w:r>
      <w:r>
        <w:t xml:space="preserve">oves </w:t>
      </w:r>
      <w:r w:rsidR="00115DD3">
        <w:t>and c</w:t>
      </w:r>
      <w:r>
        <w:t xml:space="preserve">hanges </w:t>
      </w:r>
    </w:p>
    <w:p w14:paraId="56A8379D" w14:textId="77777777" w:rsidR="0073431C" w:rsidRDefault="0073431C" w:rsidP="0073431C">
      <w:r>
        <w:t xml:space="preserve">Moves, Adds &amp; Changes (MAC) are not provided as part of the standard service. If “Full Management” is taken and included on the Order Form an unlimited number of Standard </w:t>
      </w:r>
      <w:proofErr w:type="spellStart"/>
      <w:r>
        <w:t>MACs</w:t>
      </w:r>
      <w:proofErr w:type="spellEnd"/>
      <w:r>
        <w:t xml:space="preserve"> are included (fair use policy applies), Node4 will endeavour to complete Standard </w:t>
      </w:r>
      <w:proofErr w:type="spellStart"/>
      <w:r>
        <w:t>MACs</w:t>
      </w:r>
      <w:proofErr w:type="spellEnd"/>
      <w:r>
        <w:t xml:space="preserve"> within 3 Business Days. </w:t>
      </w:r>
    </w:p>
    <w:p w14:paraId="636653A5" w14:textId="0E6A7128" w:rsidR="0073431C" w:rsidRDefault="0073431C" w:rsidP="0073431C">
      <w:pPr>
        <w:rPr>
          <w:color w:val="F79220"/>
          <w:sz w:val="24"/>
          <w:szCs w:val="24"/>
        </w:rPr>
      </w:pPr>
      <w:r>
        <w:t xml:space="preserve">Change requests conducted outside of the support contract, or change request implemented outside </w:t>
      </w:r>
      <w:r>
        <w:t>normal business hours will be dealt with as chargeable projects and subject to the Support and Professional Services Fess in 4.4.</w:t>
      </w:r>
      <w:r>
        <w:rPr>
          <w:color w:val="F79220"/>
          <w:sz w:val="24"/>
          <w:szCs w:val="24"/>
        </w:rPr>
        <w:t xml:space="preserve"> </w:t>
      </w:r>
    </w:p>
    <w:p w14:paraId="4CADC4D6" w14:textId="26D0B4B6" w:rsidR="00547B08" w:rsidRDefault="00115DD3" w:rsidP="004318B1">
      <w:pPr>
        <w:pStyle w:val="Heading2"/>
        <w:jc w:val="left"/>
      </w:pPr>
      <w:r>
        <w:t>Fault reporting and m</w:t>
      </w:r>
      <w:r w:rsidR="00547B08">
        <w:t xml:space="preserve">anagement </w:t>
      </w:r>
    </w:p>
    <w:p w14:paraId="1949E662" w14:textId="06EC43C4" w:rsidR="00547B08" w:rsidRDefault="004318B1" w:rsidP="004318B1">
      <w:pPr>
        <w:pStyle w:val="Heading3"/>
      </w:pPr>
      <w:r>
        <w:t xml:space="preserve"> </w:t>
      </w:r>
      <w:r w:rsidR="00115DD3">
        <w:t>Fault h</w:t>
      </w:r>
      <w:r w:rsidR="00547B08">
        <w:t xml:space="preserve">andling </w:t>
      </w:r>
    </w:p>
    <w:p w14:paraId="2A036ED3" w14:textId="77777777" w:rsidR="00547B08" w:rsidRDefault="00547B08" w:rsidP="00547B08">
      <w:r>
        <w:t>Faults are handled as outlined in the Incident Management Service Schedule.</w:t>
      </w:r>
    </w:p>
    <w:p w14:paraId="5819096A" w14:textId="280351B5" w:rsidR="00547B08" w:rsidRDefault="004318B1" w:rsidP="004318B1">
      <w:pPr>
        <w:pStyle w:val="Heading3"/>
      </w:pPr>
      <w:r>
        <w:t xml:space="preserve"> </w:t>
      </w:r>
      <w:r w:rsidR="00115DD3">
        <w:t>Fault h</w:t>
      </w:r>
      <w:r w:rsidR="00547B08">
        <w:t xml:space="preserve">andling </w:t>
      </w:r>
    </w:p>
    <w:p w14:paraId="1F6951A9" w14:textId="33C51846" w:rsidR="00547B08" w:rsidRDefault="00547B08" w:rsidP="00547B08">
      <w:r>
        <w:t>Faults are handled as outlined in the Incident Management Service Schedule.</w:t>
      </w:r>
    </w:p>
    <w:p w14:paraId="76C62056" w14:textId="6B268DDC" w:rsidR="00547B08" w:rsidRDefault="004318B1" w:rsidP="004318B1">
      <w:pPr>
        <w:pStyle w:val="Heading3"/>
      </w:pPr>
      <w:r>
        <w:t xml:space="preserve"> </w:t>
      </w:r>
      <w:r w:rsidR="00115DD3">
        <w:t>Time to r</w:t>
      </w:r>
      <w:r w:rsidR="00547B08">
        <w:t xml:space="preserve">esolve </w:t>
      </w:r>
      <w:r w:rsidR="00115DD3">
        <w:t>f</w:t>
      </w:r>
      <w:r w:rsidR="00547B08">
        <w:t>ault (</w:t>
      </w:r>
      <w:proofErr w:type="spellStart"/>
      <w:r w:rsidR="00547B08">
        <w:t>TTRF</w:t>
      </w:r>
      <w:proofErr w:type="spellEnd"/>
      <w:r w:rsidR="00547B08">
        <w:t>)</w:t>
      </w:r>
    </w:p>
    <w:p w14:paraId="7A5CC61C" w14:textId="4B3DF3B9" w:rsidR="00547B08" w:rsidRDefault="00547B08" w:rsidP="004318B1">
      <w:r>
        <w:t>Node4 aims to resolve faults in relation to the Node4 infrastructure causing a loss of service within four (4) hours.</w:t>
      </w:r>
    </w:p>
    <w:p w14:paraId="22BBED74" w14:textId="58A6375A" w:rsidR="00115DD3" w:rsidRDefault="00115DD3" w:rsidP="004318B1">
      <w:r>
        <w:t>Business hours</w:t>
      </w:r>
    </w:p>
    <w:tbl>
      <w:tblPr>
        <w:tblStyle w:val="TableGrid"/>
        <w:tblW w:w="4068"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964"/>
        <w:gridCol w:w="616"/>
        <w:gridCol w:w="617"/>
        <w:gridCol w:w="617"/>
        <w:gridCol w:w="617"/>
        <w:gridCol w:w="637"/>
      </w:tblGrid>
      <w:tr w:rsidR="00115DD3" w:rsidRPr="00BC665D" w14:paraId="3360F0E8" w14:textId="77777777" w:rsidTr="00115DD3">
        <w:trPr>
          <w:trHeight w:val="595"/>
          <w:tblCellSpacing w:w="20" w:type="dxa"/>
        </w:trPr>
        <w:tc>
          <w:tcPr>
            <w:tcW w:w="875" w:type="dxa"/>
            <w:shd w:val="clear" w:color="auto" w:fill="323232" w:themeFill="text1"/>
            <w:vAlign w:val="bottom"/>
          </w:tcPr>
          <w:p w14:paraId="45BA1E46" w14:textId="77777777" w:rsidR="00115DD3" w:rsidRPr="004318B1" w:rsidRDefault="00115DD3" w:rsidP="004318B1">
            <w:pPr>
              <w:jc w:val="center"/>
              <w:rPr>
                <w:rFonts w:cs="Arial"/>
                <w:b/>
                <w:color w:val="FFFFFF"/>
                <w:sz w:val="10"/>
                <w:szCs w:val="16"/>
              </w:rPr>
            </w:pPr>
            <w:r w:rsidRPr="004318B1">
              <w:rPr>
                <w:rFonts w:cs="Arial"/>
                <w:b/>
                <w:color w:val="FFFFFF"/>
                <w:sz w:val="10"/>
                <w:szCs w:val="16"/>
              </w:rPr>
              <w:t>Description</w:t>
            </w:r>
          </w:p>
        </w:tc>
        <w:tc>
          <w:tcPr>
            <w:tcW w:w="584" w:type="dxa"/>
            <w:shd w:val="clear" w:color="auto" w:fill="323232" w:themeFill="text1"/>
            <w:vAlign w:val="bottom"/>
          </w:tcPr>
          <w:p w14:paraId="10282C43" w14:textId="79FAF147" w:rsidR="00115DD3" w:rsidRPr="004318B1" w:rsidRDefault="00115DD3" w:rsidP="004318B1">
            <w:pPr>
              <w:jc w:val="center"/>
              <w:rPr>
                <w:rFonts w:cs="Arial"/>
                <w:b/>
                <w:color w:val="FFFFFF"/>
                <w:sz w:val="10"/>
                <w:szCs w:val="16"/>
              </w:rPr>
            </w:pPr>
            <w:r w:rsidRPr="004318B1">
              <w:rPr>
                <w:rFonts w:cs="Arial"/>
                <w:b/>
                <w:color w:val="FFFFFF"/>
                <w:sz w:val="10"/>
                <w:szCs w:val="16"/>
              </w:rPr>
              <w:t>Priority 1</w:t>
            </w:r>
          </w:p>
        </w:tc>
        <w:tc>
          <w:tcPr>
            <w:tcW w:w="584" w:type="dxa"/>
            <w:shd w:val="clear" w:color="auto" w:fill="323232" w:themeFill="text1"/>
            <w:vAlign w:val="bottom"/>
          </w:tcPr>
          <w:p w14:paraId="7036CF18" w14:textId="24E7684A" w:rsidR="00115DD3" w:rsidRPr="004318B1" w:rsidRDefault="00115DD3" w:rsidP="004318B1">
            <w:pPr>
              <w:jc w:val="center"/>
              <w:rPr>
                <w:rFonts w:cs="Arial"/>
                <w:b/>
                <w:color w:val="FFFFFF"/>
                <w:sz w:val="10"/>
                <w:szCs w:val="16"/>
              </w:rPr>
            </w:pPr>
            <w:r w:rsidRPr="004318B1">
              <w:rPr>
                <w:rFonts w:cs="Arial"/>
                <w:b/>
                <w:color w:val="FFFFFF"/>
                <w:sz w:val="10"/>
                <w:szCs w:val="16"/>
              </w:rPr>
              <w:t xml:space="preserve">Priority </w:t>
            </w:r>
            <w:r>
              <w:rPr>
                <w:rFonts w:cs="Arial"/>
                <w:b/>
                <w:color w:val="FFFFFF"/>
                <w:sz w:val="10"/>
                <w:szCs w:val="16"/>
              </w:rPr>
              <w:t>2</w:t>
            </w:r>
          </w:p>
        </w:tc>
        <w:tc>
          <w:tcPr>
            <w:tcW w:w="584" w:type="dxa"/>
            <w:shd w:val="clear" w:color="auto" w:fill="323232" w:themeFill="text1"/>
            <w:vAlign w:val="bottom"/>
          </w:tcPr>
          <w:p w14:paraId="01B3B3E0" w14:textId="69B9E577" w:rsidR="00115DD3" w:rsidRPr="004318B1" w:rsidRDefault="00115DD3" w:rsidP="004318B1">
            <w:pPr>
              <w:jc w:val="center"/>
              <w:rPr>
                <w:rFonts w:cs="Arial"/>
                <w:b/>
                <w:color w:val="FFFFFF"/>
                <w:sz w:val="10"/>
                <w:szCs w:val="16"/>
              </w:rPr>
            </w:pPr>
            <w:r w:rsidRPr="004318B1">
              <w:rPr>
                <w:rFonts w:cs="Arial"/>
                <w:b/>
                <w:color w:val="FFFFFF"/>
                <w:sz w:val="10"/>
                <w:szCs w:val="16"/>
              </w:rPr>
              <w:t xml:space="preserve">Priority </w:t>
            </w:r>
            <w:r>
              <w:rPr>
                <w:rFonts w:cs="Arial"/>
                <w:b/>
                <w:color w:val="FFFFFF"/>
                <w:sz w:val="10"/>
                <w:szCs w:val="16"/>
              </w:rPr>
              <w:t>3</w:t>
            </w:r>
          </w:p>
        </w:tc>
        <w:tc>
          <w:tcPr>
            <w:tcW w:w="584" w:type="dxa"/>
            <w:shd w:val="clear" w:color="auto" w:fill="323232" w:themeFill="text1"/>
            <w:vAlign w:val="bottom"/>
          </w:tcPr>
          <w:p w14:paraId="66083811" w14:textId="1FFE1B29" w:rsidR="00115DD3" w:rsidRPr="004318B1" w:rsidRDefault="00115DD3" w:rsidP="004318B1">
            <w:pPr>
              <w:jc w:val="center"/>
              <w:rPr>
                <w:rFonts w:cs="Arial"/>
                <w:b/>
                <w:color w:val="FFFFFF"/>
                <w:sz w:val="10"/>
                <w:szCs w:val="16"/>
              </w:rPr>
            </w:pPr>
            <w:r w:rsidRPr="004318B1">
              <w:rPr>
                <w:rFonts w:cs="Arial"/>
                <w:b/>
                <w:color w:val="FFFFFF"/>
                <w:sz w:val="10"/>
                <w:szCs w:val="16"/>
              </w:rPr>
              <w:t xml:space="preserve">Priority </w:t>
            </w:r>
            <w:r>
              <w:rPr>
                <w:rFonts w:cs="Arial"/>
                <w:b/>
                <w:color w:val="FFFFFF"/>
                <w:sz w:val="10"/>
                <w:szCs w:val="16"/>
              </w:rPr>
              <w:t>4</w:t>
            </w:r>
          </w:p>
        </w:tc>
        <w:tc>
          <w:tcPr>
            <w:tcW w:w="577" w:type="dxa"/>
            <w:shd w:val="clear" w:color="auto" w:fill="323232" w:themeFill="text1"/>
            <w:vAlign w:val="bottom"/>
          </w:tcPr>
          <w:p w14:paraId="645BDE02" w14:textId="1D279A26" w:rsidR="00115DD3" w:rsidRPr="004318B1" w:rsidRDefault="00115DD3" w:rsidP="004318B1">
            <w:pPr>
              <w:jc w:val="center"/>
              <w:rPr>
                <w:rFonts w:cs="Arial"/>
                <w:b/>
                <w:color w:val="FFFFFF"/>
                <w:sz w:val="10"/>
                <w:szCs w:val="16"/>
              </w:rPr>
            </w:pPr>
            <w:r w:rsidRPr="004318B1">
              <w:rPr>
                <w:rFonts w:cs="Arial"/>
                <w:b/>
                <w:color w:val="FFFFFF"/>
                <w:sz w:val="10"/>
                <w:szCs w:val="16"/>
              </w:rPr>
              <w:t xml:space="preserve">Priority </w:t>
            </w:r>
            <w:r>
              <w:rPr>
                <w:rFonts w:cs="Arial"/>
                <w:b/>
                <w:color w:val="FFFFFF"/>
                <w:sz w:val="10"/>
                <w:szCs w:val="16"/>
              </w:rPr>
              <w:t>5</w:t>
            </w:r>
          </w:p>
        </w:tc>
      </w:tr>
      <w:tr w:rsidR="00115DD3" w:rsidRPr="00BC665D" w14:paraId="3FEE1F90" w14:textId="77777777" w:rsidTr="00115DD3">
        <w:trPr>
          <w:trHeight w:val="934"/>
          <w:tblCellSpacing w:w="20" w:type="dxa"/>
        </w:trPr>
        <w:tc>
          <w:tcPr>
            <w:tcW w:w="875" w:type="dxa"/>
            <w:shd w:val="clear" w:color="auto" w:fill="ADAFAF" w:themeFill="text2"/>
            <w:vAlign w:val="center"/>
          </w:tcPr>
          <w:p w14:paraId="0471D4B2" w14:textId="77777777" w:rsidR="00115DD3" w:rsidRPr="004318B1" w:rsidRDefault="00115DD3" w:rsidP="004318B1">
            <w:pPr>
              <w:spacing w:after="0"/>
              <w:jc w:val="center"/>
              <w:rPr>
                <w:rFonts w:cs="Arial"/>
                <w:b/>
                <w:sz w:val="10"/>
                <w:szCs w:val="16"/>
              </w:rPr>
            </w:pPr>
            <w:r w:rsidRPr="004318B1">
              <w:rPr>
                <w:rFonts w:cs="Arial"/>
                <w:b/>
                <w:sz w:val="10"/>
                <w:szCs w:val="16"/>
              </w:rPr>
              <w:t>Faults &amp; Technical Queries Acknowledge-</w:t>
            </w:r>
            <w:proofErr w:type="spellStart"/>
            <w:r w:rsidRPr="004318B1">
              <w:rPr>
                <w:rFonts w:cs="Arial"/>
                <w:b/>
                <w:sz w:val="10"/>
                <w:szCs w:val="16"/>
              </w:rPr>
              <w:t>ment</w:t>
            </w:r>
            <w:proofErr w:type="spellEnd"/>
            <w:r w:rsidRPr="004318B1">
              <w:rPr>
                <w:rFonts w:cs="Arial"/>
                <w:b/>
                <w:sz w:val="10"/>
                <w:szCs w:val="16"/>
              </w:rPr>
              <w:t>*</w:t>
            </w:r>
          </w:p>
        </w:tc>
        <w:tc>
          <w:tcPr>
            <w:tcW w:w="584" w:type="dxa"/>
            <w:shd w:val="clear" w:color="auto" w:fill="ADAFAF" w:themeFill="text2"/>
            <w:vAlign w:val="center"/>
          </w:tcPr>
          <w:p w14:paraId="1DF974C7" w14:textId="77777777" w:rsidR="00115DD3" w:rsidRPr="004318B1" w:rsidRDefault="00115DD3" w:rsidP="004318B1">
            <w:pPr>
              <w:spacing w:after="0"/>
              <w:jc w:val="center"/>
              <w:rPr>
                <w:rFonts w:cs="Arial"/>
                <w:sz w:val="10"/>
                <w:szCs w:val="16"/>
              </w:rPr>
            </w:pPr>
            <w:r w:rsidRPr="004318B1">
              <w:rPr>
                <w:rFonts w:cs="Arial"/>
                <w:sz w:val="10"/>
                <w:szCs w:val="16"/>
              </w:rPr>
              <w:t xml:space="preserve">30 </w:t>
            </w:r>
            <w:proofErr w:type="spellStart"/>
            <w:r w:rsidRPr="004318B1">
              <w:rPr>
                <w:rFonts w:cs="Arial"/>
                <w:sz w:val="10"/>
                <w:szCs w:val="16"/>
              </w:rPr>
              <w:t>mins</w:t>
            </w:r>
            <w:proofErr w:type="spellEnd"/>
          </w:p>
        </w:tc>
        <w:tc>
          <w:tcPr>
            <w:tcW w:w="584" w:type="dxa"/>
            <w:shd w:val="clear" w:color="auto" w:fill="ADAFAF" w:themeFill="text2"/>
            <w:vAlign w:val="center"/>
          </w:tcPr>
          <w:p w14:paraId="0601AE0B" w14:textId="77777777" w:rsidR="00115DD3" w:rsidRPr="004318B1" w:rsidRDefault="00115DD3" w:rsidP="004318B1">
            <w:pPr>
              <w:spacing w:after="0"/>
              <w:jc w:val="center"/>
              <w:rPr>
                <w:rFonts w:cs="Arial"/>
                <w:sz w:val="10"/>
                <w:szCs w:val="16"/>
              </w:rPr>
            </w:pPr>
            <w:r w:rsidRPr="004318B1">
              <w:rPr>
                <w:rFonts w:cs="Arial"/>
                <w:sz w:val="10"/>
                <w:szCs w:val="16"/>
              </w:rPr>
              <w:t xml:space="preserve">30 </w:t>
            </w:r>
            <w:proofErr w:type="spellStart"/>
            <w:r w:rsidRPr="004318B1">
              <w:rPr>
                <w:rFonts w:cs="Arial"/>
                <w:sz w:val="10"/>
                <w:szCs w:val="16"/>
              </w:rPr>
              <w:t>Mins</w:t>
            </w:r>
            <w:proofErr w:type="spellEnd"/>
          </w:p>
        </w:tc>
        <w:tc>
          <w:tcPr>
            <w:tcW w:w="584" w:type="dxa"/>
            <w:shd w:val="clear" w:color="auto" w:fill="ADAFAF" w:themeFill="text2"/>
            <w:vAlign w:val="center"/>
          </w:tcPr>
          <w:p w14:paraId="097E94DF" w14:textId="77777777" w:rsidR="00115DD3" w:rsidRPr="004318B1" w:rsidRDefault="00115DD3" w:rsidP="004318B1">
            <w:pPr>
              <w:spacing w:after="0"/>
              <w:jc w:val="center"/>
              <w:rPr>
                <w:rFonts w:cs="Arial"/>
                <w:sz w:val="10"/>
                <w:szCs w:val="16"/>
              </w:rPr>
            </w:pPr>
            <w:r w:rsidRPr="004318B1">
              <w:rPr>
                <w:rFonts w:cs="Arial"/>
                <w:sz w:val="10"/>
                <w:szCs w:val="16"/>
              </w:rPr>
              <w:t>1 Hour</w:t>
            </w:r>
          </w:p>
        </w:tc>
        <w:tc>
          <w:tcPr>
            <w:tcW w:w="584" w:type="dxa"/>
            <w:shd w:val="clear" w:color="auto" w:fill="ADAFAF" w:themeFill="text2"/>
            <w:vAlign w:val="center"/>
          </w:tcPr>
          <w:p w14:paraId="5821DD51" w14:textId="77777777" w:rsidR="00115DD3" w:rsidRPr="004318B1" w:rsidRDefault="00115DD3" w:rsidP="004318B1">
            <w:pPr>
              <w:spacing w:after="0"/>
              <w:jc w:val="center"/>
              <w:rPr>
                <w:rFonts w:cs="Arial"/>
                <w:sz w:val="10"/>
                <w:szCs w:val="16"/>
              </w:rPr>
            </w:pPr>
            <w:r w:rsidRPr="004318B1">
              <w:rPr>
                <w:rFonts w:cs="Arial"/>
                <w:sz w:val="10"/>
                <w:szCs w:val="16"/>
              </w:rPr>
              <w:t>2 Hours</w:t>
            </w:r>
          </w:p>
        </w:tc>
        <w:tc>
          <w:tcPr>
            <w:tcW w:w="577" w:type="dxa"/>
            <w:shd w:val="clear" w:color="auto" w:fill="ADAFAF" w:themeFill="text2"/>
            <w:vAlign w:val="center"/>
          </w:tcPr>
          <w:p w14:paraId="26345002" w14:textId="77777777" w:rsidR="00115DD3" w:rsidRPr="004318B1" w:rsidRDefault="00115DD3" w:rsidP="004318B1">
            <w:pPr>
              <w:spacing w:after="0"/>
              <w:jc w:val="center"/>
              <w:rPr>
                <w:rFonts w:cs="Arial"/>
                <w:sz w:val="10"/>
                <w:szCs w:val="16"/>
              </w:rPr>
            </w:pPr>
            <w:r w:rsidRPr="004318B1">
              <w:rPr>
                <w:rFonts w:cs="Arial"/>
                <w:sz w:val="10"/>
                <w:szCs w:val="16"/>
              </w:rPr>
              <w:t>1 Day</w:t>
            </w:r>
          </w:p>
        </w:tc>
      </w:tr>
      <w:tr w:rsidR="00115DD3" w:rsidRPr="00BC665D" w14:paraId="58FC22F4" w14:textId="77777777" w:rsidTr="00115DD3">
        <w:trPr>
          <w:trHeight w:val="783"/>
          <w:tblCellSpacing w:w="20" w:type="dxa"/>
        </w:trPr>
        <w:tc>
          <w:tcPr>
            <w:tcW w:w="875" w:type="dxa"/>
            <w:vAlign w:val="center"/>
          </w:tcPr>
          <w:p w14:paraId="32E4754A" w14:textId="77777777" w:rsidR="00115DD3" w:rsidRPr="004318B1" w:rsidRDefault="00115DD3" w:rsidP="004318B1">
            <w:pPr>
              <w:spacing w:after="0"/>
              <w:jc w:val="center"/>
              <w:rPr>
                <w:rFonts w:cs="Arial"/>
                <w:b/>
                <w:sz w:val="10"/>
                <w:szCs w:val="16"/>
              </w:rPr>
            </w:pPr>
            <w:r w:rsidRPr="004318B1">
              <w:rPr>
                <w:rFonts w:cs="Arial"/>
                <w:b/>
                <w:sz w:val="10"/>
                <w:szCs w:val="16"/>
              </w:rPr>
              <w:t>Remedial Engineer Actions Commence</w:t>
            </w:r>
          </w:p>
        </w:tc>
        <w:tc>
          <w:tcPr>
            <w:tcW w:w="584" w:type="dxa"/>
            <w:shd w:val="clear" w:color="auto" w:fill="FFFFFF" w:themeFill="background1"/>
            <w:vAlign w:val="center"/>
          </w:tcPr>
          <w:p w14:paraId="01746630" w14:textId="77777777" w:rsidR="00115DD3" w:rsidRPr="004318B1" w:rsidRDefault="00115DD3" w:rsidP="004318B1">
            <w:pPr>
              <w:spacing w:after="0"/>
              <w:jc w:val="center"/>
              <w:rPr>
                <w:rFonts w:cs="Arial"/>
                <w:sz w:val="10"/>
                <w:szCs w:val="16"/>
              </w:rPr>
            </w:pPr>
            <w:r w:rsidRPr="004318B1">
              <w:rPr>
                <w:rFonts w:cs="Arial"/>
                <w:sz w:val="10"/>
                <w:szCs w:val="16"/>
              </w:rPr>
              <w:t>1 Hour</w:t>
            </w:r>
          </w:p>
        </w:tc>
        <w:tc>
          <w:tcPr>
            <w:tcW w:w="584" w:type="dxa"/>
            <w:shd w:val="clear" w:color="auto" w:fill="FFFFFF" w:themeFill="background1"/>
            <w:vAlign w:val="center"/>
          </w:tcPr>
          <w:p w14:paraId="6980EBCB" w14:textId="77777777" w:rsidR="00115DD3" w:rsidRPr="004318B1" w:rsidRDefault="00115DD3" w:rsidP="004318B1">
            <w:pPr>
              <w:spacing w:after="0"/>
              <w:jc w:val="center"/>
              <w:rPr>
                <w:rFonts w:cs="Arial"/>
                <w:sz w:val="10"/>
                <w:szCs w:val="16"/>
              </w:rPr>
            </w:pPr>
            <w:r w:rsidRPr="004318B1">
              <w:rPr>
                <w:rFonts w:cs="Arial"/>
                <w:sz w:val="10"/>
                <w:szCs w:val="16"/>
              </w:rPr>
              <w:t>2 Hours</w:t>
            </w:r>
          </w:p>
        </w:tc>
        <w:tc>
          <w:tcPr>
            <w:tcW w:w="584" w:type="dxa"/>
            <w:shd w:val="clear" w:color="auto" w:fill="FFFFFF" w:themeFill="background1"/>
            <w:vAlign w:val="center"/>
          </w:tcPr>
          <w:p w14:paraId="11E2B8F8" w14:textId="77777777" w:rsidR="00115DD3" w:rsidRPr="004318B1" w:rsidRDefault="00115DD3" w:rsidP="004318B1">
            <w:pPr>
              <w:spacing w:after="0"/>
              <w:jc w:val="center"/>
              <w:rPr>
                <w:rFonts w:cs="Arial"/>
                <w:sz w:val="10"/>
                <w:szCs w:val="16"/>
              </w:rPr>
            </w:pPr>
            <w:r w:rsidRPr="004318B1">
              <w:rPr>
                <w:rFonts w:cs="Arial"/>
                <w:sz w:val="10"/>
                <w:szCs w:val="16"/>
              </w:rPr>
              <w:t>4 Hours</w:t>
            </w:r>
          </w:p>
        </w:tc>
        <w:tc>
          <w:tcPr>
            <w:tcW w:w="584" w:type="dxa"/>
            <w:shd w:val="clear" w:color="auto" w:fill="FFFFFF" w:themeFill="background1"/>
            <w:vAlign w:val="center"/>
          </w:tcPr>
          <w:p w14:paraId="41DEC874" w14:textId="77777777" w:rsidR="00115DD3" w:rsidRPr="004318B1" w:rsidRDefault="00115DD3" w:rsidP="004318B1">
            <w:pPr>
              <w:spacing w:after="0"/>
              <w:jc w:val="center"/>
              <w:rPr>
                <w:rFonts w:cs="Arial"/>
                <w:sz w:val="10"/>
                <w:szCs w:val="16"/>
              </w:rPr>
            </w:pPr>
            <w:r w:rsidRPr="004318B1">
              <w:rPr>
                <w:rFonts w:cs="Arial"/>
                <w:sz w:val="10"/>
                <w:szCs w:val="16"/>
              </w:rPr>
              <w:t>12 Hours</w:t>
            </w:r>
          </w:p>
        </w:tc>
        <w:tc>
          <w:tcPr>
            <w:tcW w:w="577" w:type="dxa"/>
            <w:shd w:val="clear" w:color="auto" w:fill="FFFFFF" w:themeFill="background1"/>
            <w:vAlign w:val="center"/>
          </w:tcPr>
          <w:p w14:paraId="1ABCD320" w14:textId="77777777" w:rsidR="00115DD3" w:rsidRPr="004318B1" w:rsidRDefault="00115DD3" w:rsidP="004318B1">
            <w:pPr>
              <w:spacing w:after="0"/>
              <w:jc w:val="center"/>
              <w:rPr>
                <w:rFonts w:cs="Arial"/>
                <w:sz w:val="10"/>
                <w:szCs w:val="16"/>
              </w:rPr>
            </w:pPr>
            <w:r w:rsidRPr="004318B1">
              <w:rPr>
                <w:rFonts w:cs="Arial"/>
                <w:sz w:val="10"/>
                <w:szCs w:val="16"/>
              </w:rPr>
              <w:t>N/A</w:t>
            </w:r>
          </w:p>
        </w:tc>
      </w:tr>
      <w:tr w:rsidR="00115DD3" w:rsidRPr="00BC665D" w14:paraId="766AD367" w14:textId="77777777" w:rsidTr="00115DD3">
        <w:trPr>
          <w:trHeight w:val="632"/>
          <w:tblCellSpacing w:w="20" w:type="dxa"/>
        </w:trPr>
        <w:tc>
          <w:tcPr>
            <w:tcW w:w="875" w:type="dxa"/>
            <w:shd w:val="clear" w:color="auto" w:fill="ADAFAF" w:themeFill="text2"/>
            <w:vAlign w:val="center"/>
          </w:tcPr>
          <w:p w14:paraId="33C849E2" w14:textId="77777777" w:rsidR="00115DD3" w:rsidRPr="004318B1" w:rsidRDefault="00115DD3" w:rsidP="004318B1">
            <w:pPr>
              <w:spacing w:after="0"/>
              <w:jc w:val="center"/>
              <w:rPr>
                <w:rFonts w:cs="Arial"/>
                <w:b/>
                <w:sz w:val="10"/>
                <w:szCs w:val="16"/>
              </w:rPr>
            </w:pPr>
            <w:r w:rsidRPr="004318B1">
              <w:rPr>
                <w:rFonts w:cs="Arial"/>
                <w:b/>
                <w:sz w:val="10"/>
                <w:szCs w:val="16"/>
              </w:rPr>
              <w:t>Time to Resolve Fault**</w:t>
            </w:r>
          </w:p>
        </w:tc>
        <w:tc>
          <w:tcPr>
            <w:tcW w:w="584" w:type="dxa"/>
            <w:shd w:val="clear" w:color="auto" w:fill="ADAFAF" w:themeFill="text2"/>
            <w:vAlign w:val="center"/>
          </w:tcPr>
          <w:p w14:paraId="25C72198" w14:textId="6A894AED" w:rsidR="00115DD3" w:rsidRPr="004318B1" w:rsidRDefault="00115DD3" w:rsidP="004318B1">
            <w:pPr>
              <w:spacing w:after="0"/>
              <w:jc w:val="center"/>
              <w:rPr>
                <w:rFonts w:cs="Arial"/>
                <w:sz w:val="10"/>
                <w:szCs w:val="16"/>
              </w:rPr>
            </w:pPr>
            <w:r>
              <w:rPr>
                <w:rFonts w:cs="Arial"/>
                <w:sz w:val="10"/>
                <w:szCs w:val="16"/>
              </w:rPr>
              <w:t>4</w:t>
            </w:r>
            <w:r w:rsidRPr="004318B1">
              <w:rPr>
                <w:rFonts w:cs="Arial"/>
                <w:sz w:val="10"/>
                <w:szCs w:val="16"/>
              </w:rPr>
              <w:t xml:space="preserve"> Hours</w:t>
            </w:r>
          </w:p>
        </w:tc>
        <w:tc>
          <w:tcPr>
            <w:tcW w:w="584" w:type="dxa"/>
            <w:shd w:val="clear" w:color="auto" w:fill="ADAFAF" w:themeFill="text2"/>
            <w:vAlign w:val="center"/>
          </w:tcPr>
          <w:p w14:paraId="63608A6D" w14:textId="66F6E70E" w:rsidR="00115DD3" w:rsidRPr="004318B1" w:rsidRDefault="00115DD3" w:rsidP="004318B1">
            <w:pPr>
              <w:spacing w:after="0"/>
              <w:jc w:val="center"/>
              <w:rPr>
                <w:rFonts w:cs="Arial"/>
                <w:sz w:val="10"/>
                <w:szCs w:val="16"/>
              </w:rPr>
            </w:pPr>
            <w:r>
              <w:rPr>
                <w:rFonts w:cs="Arial"/>
                <w:sz w:val="10"/>
                <w:szCs w:val="16"/>
              </w:rPr>
              <w:t>4</w:t>
            </w:r>
            <w:r w:rsidRPr="004318B1">
              <w:rPr>
                <w:rFonts w:cs="Arial"/>
                <w:sz w:val="10"/>
                <w:szCs w:val="16"/>
              </w:rPr>
              <w:t xml:space="preserve"> Hours</w:t>
            </w:r>
          </w:p>
        </w:tc>
        <w:tc>
          <w:tcPr>
            <w:tcW w:w="584" w:type="dxa"/>
            <w:shd w:val="clear" w:color="auto" w:fill="ADAFAF" w:themeFill="text2"/>
            <w:vAlign w:val="center"/>
          </w:tcPr>
          <w:p w14:paraId="09AB5902" w14:textId="77777777" w:rsidR="00115DD3" w:rsidRPr="004318B1" w:rsidRDefault="00115DD3" w:rsidP="004318B1">
            <w:pPr>
              <w:spacing w:after="0"/>
              <w:jc w:val="center"/>
              <w:rPr>
                <w:rFonts w:cs="Arial"/>
                <w:sz w:val="10"/>
                <w:szCs w:val="16"/>
              </w:rPr>
            </w:pPr>
            <w:r w:rsidRPr="004318B1">
              <w:rPr>
                <w:rFonts w:cs="Arial"/>
                <w:sz w:val="10"/>
                <w:szCs w:val="16"/>
              </w:rPr>
              <w:t>24 Hours</w:t>
            </w:r>
          </w:p>
        </w:tc>
        <w:tc>
          <w:tcPr>
            <w:tcW w:w="584" w:type="dxa"/>
            <w:shd w:val="clear" w:color="auto" w:fill="ADAFAF" w:themeFill="text2"/>
            <w:vAlign w:val="center"/>
          </w:tcPr>
          <w:p w14:paraId="0D825A4D" w14:textId="77777777" w:rsidR="00115DD3" w:rsidRPr="004318B1" w:rsidRDefault="00115DD3" w:rsidP="004318B1">
            <w:pPr>
              <w:spacing w:after="0"/>
              <w:jc w:val="center"/>
              <w:rPr>
                <w:rFonts w:cs="Arial"/>
                <w:sz w:val="10"/>
                <w:szCs w:val="16"/>
              </w:rPr>
            </w:pPr>
            <w:r w:rsidRPr="004318B1">
              <w:rPr>
                <w:rFonts w:cs="Arial"/>
                <w:sz w:val="10"/>
                <w:szCs w:val="16"/>
              </w:rPr>
              <w:t>72 Hours</w:t>
            </w:r>
          </w:p>
        </w:tc>
        <w:tc>
          <w:tcPr>
            <w:tcW w:w="577" w:type="dxa"/>
            <w:shd w:val="clear" w:color="auto" w:fill="ADAFAF" w:themeFill="text2"/>
            <w:vAlign w:val="center"/>
          </w:tcPr>
          <w:p w14:paraId="5CCEF4C4" w14:textId="77777777" w:rsidR="00115DD3" w:rsidRPr="004318B1" w:rsidRDefault="00115DD3" w:rsidP="004318B1">
            <w:pPr>
              <w:spacing w:after="0"/>
              <w:jc w:val="center"/>
              <w:rPr>
                <w:rFonts w:cs="Arial"/>
                <w:sz w:val="10"/>
                <w:szCs w:val="16"/>
              </w:rPr>
            </w:pPr>
            <w:r w:rsidRPr="004318B1">
              <w:rPr>
                <w:rFonts w:cs="Arial"/>
                <w:sz w:val="10"/>
                <w:szCs w:val="16"/>
              </w:rPr>
              <w:t>5 Days</w:t>
            </w:r>
          </w:p>
          <w:p w14:paraId="0A90F745" w14:textId="77777777" w:rsidR="00115DD3" w:rsidRPr="004318B1" w:rsidRDefault="00115DD3" w:rsidP="004318B1">
            <w:pPr>
              <w:spacing w:after="0"/>
              <w:jc w:val="center"/>
              <w:rPr>
                <w:rFonts w:cs="Arial"/>
                <w:sz w:val="10"/>
                <w:szCs w:val="16"/>
              </w:rPr>
            </w:pPr>
            <w:r w:rsidRPr="004318B1">
              <w:rPr>
                <w:rFonts w:cs="Arial"/>
                <w:sz w:val="10"/>
                <w:szCs w:val="16"/>
              </w:rPr>
              <w:t>***</w:t>
            </w:r>
          </w:p>
        </w:tc>
      </w:tr>
    </w:tbl>
    <w:p w14:paraId="7C6D2732" w14:textId="2656496E" w:rsidR="00D64313" w:rsidRDefault="00D64313" w:rsidP="00547B08"/>
    <w:p w14:paraId="574BB602" w14:textId="0AABDA2D" w:rsidR="00115DD3" w:rsidRDefault="00115DD3" w:rsidP="00547B08">
      <w:r>
        <w:t>Non-business hours</w:t>
      </w:r>
    </w:p>
    <w:tbl>
      <w:tblPr>
        <w:tblStyle w:val="TableGrid"/>
        <w:tblW w:w="4068"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964"/>
        <w:gridCol w:w="616"/>
        <w:gridCol w:w="617"/>
        <w:gridCol w:w="617"/>
        <w:gridCol w:w="617"/>
        <w:gridCol w:w="637"/>
      </w:tblGrid>
      <w:tr w:rsidR="00115DD3" w:rsidRPr="00BC665D" w14:paraId="3FEAD93E" w14:textId="77777777" w:rsidTr="00115DD3">
        <w:trPr>
          <w:trHeight w:val="595"/>
          <w:tblCellSpacing w:w="20" w:type="dxa"/>
        </w:trPr>
        <w:tc>
          <w:tcPr>
            <w:tcW w:w="875" w:type="dxa"/>
            <w:shd w:val="clear" w:color="auto" w:fill="323232" w:themeFill="text1"/>
            <w:vAlign w:val="bottom"/>
          </w:tcPr>
          <w:p w14:paraId="630FB280" w14:textId="77777777" w:rsidR="00115DD3" w:rsidRPr="004318B1" w:rsidRDefault="00115DD3" w:rsidP="004318B1">
            <w:pPr>
              <w:jc w:val="center"/>
              <w:rPr>
                <w:rFonts w:cs="Arial"/>
                <w:b/>
                <w:color w:val="FFFFFF"/>
                <w:sz w:val="10"/>
                <w:szCs w:val="16"/>
              </w:rPr>
            </w:pPr>
            <w:r w:rsidRPr="004318B1">
              <w:rPr>
                <w:rFonts w:cs="Arial"/>
                <w:b/>
                <w:color w:val="FFFFFF"/>
                <w:sz w:val="10"/>
                <w:szCs w:val="16"/>
              </w:rPr>
              <w:t>Description</w:t>
            </w:r>
          </w:p>
        </w:tc>
        <w:tc>
          <w:tcPr>
            <w:tcW w:w="584" w:type="dxa"/>
            <w:shd w:val="clear" w:color="auto" w:fill="323232" w:themeFill="text1"/>
            <w:vAlign w:val="bottom"/>
          </w:tcPr>
          <w:p w14:paraId="6C3FC153" w14:textId="77777777" w:rsidR="00115DD3" w:rsidRPr="004318B1" w:rsidRDefault="00115DD3" w:rsidP="004318B1">
            <w:pPr>
              <w:jc w:val="center"/>
              <w:rPr>
                <w:rFonts w:cs="Arial"/>
                <w:b/>
                <w:color w:val="FFFFFF"/>
                <w:sz w:val="10"/>
                <w:szCs w:val="16"/>
              </w:rPr>
            </w:pPr>
            <w:r w:rsidRPr="004318B1">
              <w:rPr>
                <w:rFonts w:cs="Arial"/>
                <w:b/>
                <w:color w:val="FFFFFF"/>
                <w:sz w:val="10"/>
                <w:szCs w:val="16"/>
              </w:rPr>
              <w:t>Priority 1</w:t>
            </w:r>
          </w:p>
        </w:tc>
        <w:tc>
          <w:tcPr>
            <w:tcW w:w="584" w:type="dxa"/>
            <w:shd w:val="clear" w:color="auto" w:fill="323232" w:themeFill="text1"/>
            <w:vAlign w:val="bottom"/>
          </w:tcPr>
          <w:p w14:paraId="64E86B69" w14:textId="77777777" w:rsidR="00115DD3" w:rsidRPr="004318B1" w:rsidRDefault="00115DD3" w:rsidP="004318B1">
            <w:pPr>
              <w:jc w:val="center"/>
              <w:rPr>
                <w:rFonts w:cs="Arial"/>
                <w:b/>
                <w:color w:val="FFFFFF"/>
                <w:sz w:val="10"/>
                <w:szCs w:val="16"/>
              </w:rPr>
            </w:pPr>
            <w:r w:rsidRPr="004318B1">
              <w:rPr>
                <w:rFonts w:cs="Arial"/>
                <w:b/>
                <w:color w:val="FFFFFF"/>
                <w:sz w:val="10"/>
                <w:szCs w:val="16"/>
              </w:rPr>
              <w:t xml:space="preserve">Priority </w:t>
            </w:r>
            <w:r>
              <w:rPr>
                <w:rFonts w:cs="Arial"/>
                <w:b/>
                <w:color w:val="FFFFFF"/>
                <w:sz w:val="10"/>
                <w:szCs w:val="16"/>
              </w:rPr>
              <w:t>2</w:t>
            </w:r>
          </w:p>
        </w:tc>
        <w:tc>
          <w:tcPr>
            <w:tcW w:w="584" w:type="dxa"/>
            <w:shd w:val="clear" w:color="auto" w:fill="323232" w:themeFill="text1"/>
            <w:vAlign w:val="bottom"/>
          </w:tcPr>
          <w:p w14:paraId="436D8877" w14:textId="77777777" w:rsidR="00115DD3" w:rsidRPr="004318B1" w:rsidRDefault="00115DD3" w:rsidP="004318B1">
            <w:pPr>
              <w:jc w:val="center"/>
              <w:rPr>
                <w:rFonts w:cs="Arial"/>
                <w:b/>
                <w:color w:val="FFFFFF"/>
                <w:sz w:val="10"/>
                <w:szCs w:val="16"/>
              </w:rPr>
            </w:pPr>
            <w:r w:rsidRPr="004318B1">
              <w:rPr>
                <w:rFonts w:cs="Arial"/>
                <w:b/>
                <w:color w:val="FFFFFF"/>
                <w:sz w:val="10"/>
                <w:szCs w:val="16"/>
              </w:rPr>
              <w:t xml:space="preserve">Priority </w:t>
            </w:r>
            <w:r>
              <w:rPr>
                <w:rFonts w:cs="Arial"/>
                <w:b/>
                <w:color w:val="FFFFFF"/>
                <w:sz w:val="10"/>
                <w:szCs w:val="16"/>
              </w:rPr>
              <w:t>3</w:t>
            </w:r>
          </w:p>
        </w:tc>
        <w:tc>
          <w:tcPr>
            <w:tcW w:w="584" w:type="dxa"/>
            <w:shd w:val="clear" w:color="auto" w:fill="323232" w:themeFill="text1"/>
            <w:vAlign w:val="bottom"/>
          </w:tcPr>
          <w:p w14:paraId="5C191798" w14:textId="77777777" w:rsidR="00115DD3" w:rsidRPr="004318B1" w:rsidRDefault="00115DD3" w:rsidP="004318B1">
            <w:pPr>
              <w:jc w:val="center"/>
              <w:rPr>
                <w:rFonts w:cs="Arial"/>
                <w:b/>
                <w:color w:val="FFFFFF"/>
                <w:sz w:val="10"/>
                <w:szCs w:val="16"/>
              </w:rPr>
            </w:pPr>
            <w:r w:rsidRPr="004318B1">
              <w:rPr>
                <w:rFonts w:cs="Arial"/>
                <w:b/>
                <w:color w:val="FFFFFF"/>
                <w:sz w:val="10"/>
                <w:szCs w:val="16"/>
              </w:rPr>
              <w:t xml:space="preserve">Priority </w:t>
            </w:r>
            <w:r>
              <w:rPr>
                <w:rFonts w:cs="Arial"/>
                <w:b/>
                <w:color w:val="FFFFFF"/>
                <w:sz w:val="10"/>
                <w:szCs w:val="16"/>
              </w:rPr>
              <w:t>4</w:t>
            </w:r>
          </w:p>
        </w:tc>
        <w:tc>
          <w:tcPr>
            <w:tcW w:w="577" w:type="dxa"/>
            <w:shd w:val="clear" w:color="auto" w:fill="323232" w:themeFill="text1"/>
            <w:vAlign w:val="bottom"/>
          </w:tcPr>
          <w:p w14:paraId="49AAFE4E" w14:textId="77777777" w:rsidR="00115DD3" w:rsidRPr="004318B1" w:rsidRDefault="00115DD3" w:rsidP="004318B1">
            <w:pPr>
              <w:jc w:val="center"/>
              <w:rPr>
                <w:rFonts w:cs="Arial"/>
                <w:b/>
                <w:color w:val="FFFFFF"/>
                <w:sz w:val="10"/>
                <w:szCs w:val="16"/>
              </w:rPr>
            </w:pPr>
            <w:r w:rsidRPr="004318B1">
              <w:rPr>
                <w:rFonts w:cs="Arial"/>
                <w:b/>
                <w:color w:val="FFFFFF"/>
                <w:sz w:val="10"/>
                <w:szCs w:val="16"/>
              </w:rPr>
              <w:t xml:space="preserve">Priority </w:t>
            </w:r>
            <w:r>
              <w:rPr>
                <w:rFonts w:cs="Arial"/>
                <w:b/>
                <w:color w:val="FFFFFF"/>
                <w:sz w:val="10"/>
                <w:szCs w:val="16"/>
              </w:rPr>
              <w:t>5</w:t>
            </w:r>
          </w:p>
        </w:tc>
      </w:tr>
      <w:tr w:rsidR="00115DD3" w:rsidRPr="00BC665D" w14:paraId="16EB4644" w14:textId="77777777" w:rsidTr="00115DD3">
        <w:trPr>
          <w:trHeight w:val="934"/>
          <w:tblCellSpacing w:w="20" w:type="dxa"/>
        </w:trPr>
        <w:tc>
          <w:tcPr>
            <w:tcW w:w="875" w:type="dxa"/>
            <w:shd w:val="clear" w:color="auto" w:fill="ADAFAF" w:themeFill="text2"/>
            <w:vAlign w:val="center"/>
          </w:tcPr>
          <w:p w14:paraId="32BE45FA" w14:textId="77777777" w:rsidR="00115DD3" w:rsidRPr="004318B1" w:rsidRDefault="00115DD3" w:rsidP="004318B1">
            <w:pPr>
              <w:spacing w:after="0"/>
              <w:jc w:val="center"/>
              <w:rPr>
                <w:rFonts w:cs="Arial"/>
                <w:b/>
                <w:sz w:val="10"/>
                <w:szCs w:val="16"/>
              </w:rPr>
            </w:pPr>
            <w:r w:rsidRPr="004318B1">
              <w:rPr>
                <w:rFonts w:cs="Arial"/>
                <w:b/>
                <w:sz w:val="10"/>
                <w:szCs w:val="16"/>
              </w:rPr>
              <w:t>Faults &amp; Technical Queries Acknowledge-</w:t>
            </w:r>
            <w:proofErr w:type="spellStart"/>
            <w:r w:rsidRPr="004318B1">
              <w:rPr>
                <w:rFonts w:cs="Arial"/>
                <w:b/>
                <w:sz w:val="10"/>
                <w:szCs w:val="16"/>
              </w:rPr>
              <w:t>ment</w:t>
            </w:r>
            <w:proofErr w:type="spellEnd"/>
            <w:r w:rsidRPr="004318B1">
              <w:rPr>
                <w:rFonts w:cs="Arial"/>
                <w:b/>
                <w:sz w:val="10"/>
                <w:szCs w:val="16"/>
              </w:rPr>
              <w:t>*</w:t>
            </w:r>
          </w:p>
        </w:tc>
        <w:tc>
          <w:tcPr>
            <w:tcW w:w="584" w:type="dxa"/>
            <w:shd w:val="clear" w:color="auto" w:fill="ADAFAF" w:themeFill="text2"/>
            <w:vAlign w:val="center"/>
          </w:tcPr>
          <w:p w14:paraId="488F5D03" w14:textId="7695DC48" w:rsidR="00115DD3" w:rsidRPr="004318B1" w:rsidRDefault="00115DD3" w:rsidP="004318B1">
            <w:pPr>
              <w:spacing w:after="0"/>
              <w:jc w:val="center"/>
              <w:rPr>
                <w:rFonts w:cs="Arial"/>
                <w:sz w:val="10"/>
                <w:szCs w:val="16"/>
              </w:rPr>
            </w:pPr>
            <w:r>
              <w:rPr>
                <w:rFonts w:cs="Arial"/>
                <w:sz w:val="10"/>
                <w:szCs w:val="16"/>
              </w:rPr>
              <w:t>6</w:t>
            </w:r>
            <w:r w:rsidRPr="004318B1">
              <w:rPr>
                <w:rFonts w:cs="Arial"/>
                <w:sz w:val="10"/>
                <w:szCs w:val="16"/>
              </w:rPr>
              <w:t xml:space="preserve">0 </w:t>
            </w:r>
            <w:proofErr w:type="spellStart"/>
            <w:r w:rsidRPr="004318B1">
              <w:rPr>
                <w:rFonts w:cs="Arial"/>
                <w:sz w:val="10"/>
                <w:szCs w:val="16"/>
              </w:rPr>
              <w:t>mins</w:t>
            </w:r>
            <w:proofErr w:type="spellEnd"/>
          </w:p>
        </w:tc>
        <w:tc>
          <w:tcPr>
            <w:tcW w:w="584" w:type="dxa"/>
            <w:shd w:val="clear" w:color="auto" w:fill="ADAFAF" w:themeFill="text2"/>
            <w:vAlign w:val="center"/>
          </w:tcPr>
          <w:p w14:paraId="3EF02A16" w14:textId="5B94B2D4" w:rsidR="00115DD3" w:rsidRPr="004318B1" w:rsidRDefault="00115DD3" w:rsidP="004318B1">
            <w:pPr>
              <w:spacing w:after="0"/>
              <w:jc w:val="center"/>
              <w:rPr>
                <w:rFonts w:cs="Arial"/>
                <w:sz w:val="10"/>
                <w:szCs w:val="16"/>
              </w:rPr>
            </w:pPr>
            <w:r>
              <w:rPr>
                <w:rFonts w:cs="Arial"/>
                <w:sz w:val="10"/>
                <w:szCs w:val="16"/>
              </w:rPr>
              <w:t>6</w:t>
            </w:r>
            <w:r w:rsidRPr="004318B1">
              <w:rPr>
                <w:rFonts w:cs="Arial"/>
                <w:sz w:val="10"/>
                <w:szCs w:val="16"/>
              </w:rPr>
              <w:t xml:space="preserve">0 </w:t>
            </w:r>
            <w:proofErr w:type="spellStart"/>
            <w:r w:rsidRPr="004318B1">
              <w:rPr>
                <w:rFonts w:cs="Arial"/>
                <w:sz w:val="10"/>
                <w:szCs w:val="16"/>
              </w:rPr>
              <w:t>Mins</w:t>
            </w:r>
            <w:proofErr w:type="spellEnd"/>
          </w:p>
        </w:tc>
        <w:tc>
          <w:tcPr>
            <w:tcW w:w="584" w:type="dxa"/>
            <w:shd w:val="clear" w:color="auto" w:fill="ADAFAF" w:themeFill="text2"/>
            <w:vAlign w:val="center"/>
          </w:tcPr>
          <w:p w14:paraId="1037336C" w14:textId="77777777" w:rsidR="00115DD3" w:rsidRDefault="00115DD3" w:rsidP="004318B1">
            <w:pPr>
              <w:spacing w:after="0"/>
              <w:jc w:val="center"/>
              <w:rPr>
                <w:rFonts w:cs="Arial"/>
                <w:sz w:val="10"/>
                <w:szCs w:val="16"/>
              </w:rPr>
            </w:pPr>
            <w:r>
              <w:rPr>
                <w:rFonts w:cs="Arial"/>
                <w:sz w:val="10"/>
                <w:szCs w:val="16"/>
              </w:rPr>
              <w:t>Auto-</w:t>
            </w:r>
          </w:p>
          <w:p w14:paraId="4C04FE91" w14:textId="7B223FB9" w:rsidR="00115DD3" w:rsidRDefault="00115DD3" w:rsidP="004318B1">
            <w:pPr>
              <w:spacing w:after="0"/>
              <w:jc w:val="center"/>
              <w:rPr>
                <w:rFonts w:cs="Arial"/>
                <w:sz w:val="10"/>
                <w:szCs w:val="16"/>
              </w:rPr>
            </w:pPr>
            <w:r>
              <w:rPr>
                <w:rFonts w:cs="Arial"/>
                <w:sz w:val="10"/>
                <w:szCs w:val="16"/>
              </w:rPr>
              <w:t>Mated</w:t>
            </w:r>
          </w:p>
          <w:p w14:paraId="6BF3A09A" w14:textId="77777777" w:rsidR="00115DD3" w:rsidRDefault="00115DD3" w:rsidP="004318B1">
            <w:pPr>
              <w:spacing w:after="0"/>
              <w:jc w:val="center"/>
              <w:rPr>
                <w:rFonts w:cs="Arial"/>
                <w:sz w:val="10"/>
                <w:szCs w:val="16"/>
              </w:rPr>
            </w:pPr>
            <w:r>
              <w:rPr>
                <w:rFonts w:cs="Arial"/>
                <w:sz w:val="10"/>
                <w:szCs w:val="16"/>
              </w:rPr>
              <w:t>Email</w:t>
            </w:r>
          </w:p>
          <w:p w14:paraId="5154EA23" w14:textId="77777777" w:rsidR="00115DD3" w:rsidRDefault="00115DD3" w:rsidP="004318B1">
            <w:pPr>
              <w:spacing w:after="0"/>
              <w:jc w:val="center"/>
              <w:rPr>
                <w:rFonts w:cs="Arial"/>
                <w:sz w:val="10"/>
                <w:szCs w:val="16"/>
              </w:rPr>
            </w:pPr>
            <w:proofErr w:type="spellStart"/>
            <w:r>
              <w:rPr>
                <w:rFonts w:cs="Arial"/>
                <w:sz w:val="10"/>
                <w:szCs w:val="16"/>
              </w:rPr>
              <w:t>Respo</w:t>
            </w:r>
            <w:proofErr w:type="spellEnd"/>
            <w:r>
              <w:rPr>
                <w:rFonts w:cs="Arial"/>
                <w:sz w:val="10"/>
                <w:szCs w:val="16"/>
              </w:rPr>
              <w:t>-</w:t>
            </w:r>
          </w:p>
          <w:p w14:paraId="1E8B5A59" w14:textId="4489F60C" w:rsidR="00115DD3" w:rsidRPr="004318B1" w:rsidRDefault="00115DD3" w:rsidP="004318B1">
            <w:pPr>
              <w:spacing w:after="0"/>
              <w:jc w:val="center"/>
              <w:rPr>
                <w:rFonts w:cs="Arial"/>
                <w:sz w:val="10"/>
                <w:szCs w:val="16"/>
              </w:rPr>
            </w:pPr>
            <w:proofErr w:type="spellStart"/>
            <w:r>
              <w:rPr>
                <w:rFonts w:cs="Arial"/>
                <w:sz w:val="10"/>
                <w:szCs w:val="16"/>
              </w:rPr>
              <w:t>nse</w:t>
            </w:r>
            <w:proofErr w:type="spellEnd"/>
          </w:p>
        </w:tc>
        <w:tc>
          <w:tcPr>
            <w:tcW w:w="584" w:type="dxa"/>
            <w:shd w:val="clear" w:color="auto" w:fill="ADAFAF" w:themeFill="text2"/>
            <w:vAlign w:val="center"/>
          </w:tcPr>
          <w:p w14:paraId="3F6B7E93" w14:textId="77777777" w:rsidR="00115DD3" w:rsidRDefault="00115DD3" w:rsidP="004318B1">
            <w:pPr>
              <w:spacing w:after="0"/>
              <w:jc w:val="center"/>
              <w:rPr>
                <w:rFonts w:cs="Arial"/>
                <w:sz w:val="10"/>
                <w:szCs w:val="16"/>
              </w:rPr>
            </w:pPr>
            <w:r>
              <w:rPr>
                <w:rFonts w:cs="Arial"/>
                <w:sz w:val="10"/>
                <w:szCs w:val="16"/>
              </w:rPr>
              <w:t>Auto-</w:t>
            </w:r>
          </w:p>
          <w:p w14:paraId="19E399FB" w14:textId="77777777" w:rsidR="00115DD3" w:rsidRDefault="00115DD3" w:rsidP="004318B1">
            <w:pPr>
              <w:spacing w:after="0"/>
              <w:jc w:val="center"/>
              <w:rPr>
                <w:rFonts w:cs="Arial"/>
                <w:sz w:val="10"/>
                <w:szCs w:val="16"/>
              </w:rPr>
            </w:pPr>
            <w:r>
              <w:rPr>
                <w:rFonts w:cs="Arial"/>
                <w:sz w:val="10"/>
                <w:szCs w:val="16"/>
              </w:rPr>
              <w:t>Mated</w:t>
            </w:r>
          </w:p>
          <w:p w14:paraId="4B96FE16" w14:textId="77777777" w:rsidR="00115DD3" w:rsidRDefault="00115DD3" w:rsidP="004318B1">
            <w:pPr>
              <w:spacing w:after="0"/>
              <w:jc w:val="center"/>
              <w:rPr>
                <w:rFonts w:cs="Arial"/>
                <w:sz w:val="10"/>
                <w:szCs w:val="16"/>
              </w:rPr>
            </w:pPr>
            <w:r>
              <w:rPr>
                <w:rFonts w:cs="Arial"/>
                <w:sz w:val="10"/>
                <w:szCs w:val="16"/>
              </w:rPr>
              <w:t>Email</w:t>
            </w:r>
          </w:p>
          <w:p w14:paraId="7A9E6BE7" w14:textId="77777777" w:rsidR="00115DD3" w:rsidRDefault="00115DD3" w:rsidP="004318B1">
            <w:pPr>
              <w:spacing w:after="0"/>
              <w:jc w:val="center"/>
              <w:rPr>
                <w:rFonts w:cs="Arial"/>
                <w:sz w:val="10"/>
                <w:szCs w:val="16"/>
              </w:rPr>
            </w:pPr>
            <w:proofErr w:type="spellStart"/>
            <w:r>
              <w:rPr>
                <w:rFonts w:cs="Arial"/>
                <w:sz w:val="10"/>
                <w:szCs w:val="16"/>
              </w:rPr>
              <w:t>Respo</w:t>
            </w:r>
            <w:proofErr w:type="spellEnd"/>
            <w:r>
              <w:rPr>
                <w:rFonts w:cs="Arial"/>
                <w:sz w:val="10"/>
                <w:szCs w:val="16"/>
              </w:rPr>
              <w:t>-</w:t>
            </w:r>
          </w:p>
          <w:p w14:paraId="6315BF54" w14:textId="2A9E7BEC" w:rsidR="00115DD3" w:rsidRPr="004318B1" w:rsidRDefault="00115DD3" w:rsidP="004318B1">
            <w:pPr>
              <w:spacing w:after="0"/>
              <w:jc w:val="center"/>
              <w:rPr>
                <w:rFonts w:cs="Arial"/>
                <w:sz w:val="10"/>
                <w:szCs w:val="16"/>
              </w:rPr>
            </w:pPr>
            <w:proofErr w:type="spellStart"/>
            <w:r>
              <w:rPr>
                <w:rFonts w:cs="Arial"/>
                <w:sz w:val="10"/>
                <w:szCs w:val="16"/>
              </w:rPr>
              <w:t>nse</w:t>
            </w:r>
            <w:proofErr w:type="spellEnd"/>
          </w:p>
        </w:tc>
        <w:tc>
          <w:tcPr>
            <w:tcW w:w="577" w:type="dxa"/>
            <w:shd w:val="clear" w:color="auto" w:fill="ADAFAF" w:themeFill="text2"/>
            <w:vAlign w:val="center"/>
          </w:tcPr>
          <w:p w14:paraId="5F61EED5" w14:textId="77777777" w:rsidR="00115DD3" w:rsidRDefault="00115DD3" w:rsidP="004318B1">
            <w:pPr>
              <w:spacing w:after="0"/>
              <w:jc w:val="center"/>
              <w:rPr>
                <w:rFonts w:cs="Arial"/>
                <w:sz w:val="10"/>
                <w:szCs w:val="16"/>
              </w:rPr>
            </w:pPr>
            <w:r>
              <w:rPr>
                <w:rFonts w:cs="Arial"/>
                <w:sz w:val="10"/>
                <w:szCs w:val="16"/>
              </w:rPr>
              <w:t>Auto-</w:t>
            </w:r>
          </w:p>
          <w:p w14:paraId="4B144BDA" w14:textId="77777777" w:rsidR="00115DD3" w:rsidRDefault="00115DD3" w:rsidP="004318B1">
            <w:pPr>
              <w:spacing w:after="0"/>
              <w:jc w:val="center"/>
              <w:rPr>
                <w:rFonts w:cs="Arial"/>
                <w:sz w:val="10"/>
                <w:szCs w:val="16"/>
              </w:rPr>
            </w:pPr>
            <w:r>
              <w:rPr>
                <w:rFonts w:cs="Arial"/>
                <w:sz w:val="10"/>
                <w:szCs w:val="16"/>
              </w:rPr>
              <w:t>Mated</w:t>
            </w:r>
          </w:p>
          <w:p w14:paraId="64AEC84E" w14:textId="77777777" w:rsidR="00115DD3" w:rsidRDefault="00115DD3" w:rsidP="004318B1">
            <w:pPr>
              <w:spacing w:after="0"/>
              <w:jc w:val="center"/>
              <w:rPr>
                <w:rFonts w:cs="Arial"/>
                <w:sz w:val="10"/>
                <w:szCs w:val="16"/>
              </w:rPr>
            </w:pPr>
            <w:r>
              <w:rPr>
                <w:rFonts w:cs="Arial"/>
                <w:sz w:val="10"/>
                <w:szCs w:val="16"/>
              </w:rPr>
              <w:t>Email</w:t>
            </w:r>
          </w:p>
          <w:p w14:paraId="20473792" w14:textId="77777777" w:rsidR="00115DD3" w:rsidRDefault="00115DD3" w:rsidP="004318B1">
            <w:pPr>
              <w:spacing w:after="0"/>
              <w:jc w:val="center"/>
              <w:rPr>
                <w:rFonts w:cs="Arial"/>
                <w:sz w:val="10"/>
                <w:szCs w:val="16"/>
              </w:rPr>
            </w:pPr>
            <w:proofErr w:type="spellStart"/>
            <w:r>
              <w:rPr>
                <w:rFonts w:cs="Arial"/>
                <w:sz w:val="10"/>
                <w:szCs w:val="16"/>
              </w:rPr>
              <w:t>Respo</w:t>
            </w:r>
            <w:proofErr w:type="spellEnd"/>
            <w:r>
              <w:rPr>
                <w:rFonts w:cs="Arial"/>
                <w:sz w:val="10"/>
                <w:szCs w:val="16"/>
              </w:rPr>
              <w:t>-</w:t>
            </w:r>
          </w:p>
          <w:p w14:paraId="5459DFCB" w14:textId="672BB0B5" w:rsidR="00115DD3" w:rsidRPr="004318B1" w:rsidRDefault="00115DD3" w:rsidP="004318B1">
            <w:pPr>
              <w:spacing w:after="0"/>
              <w:jc w:val="center"/>
              <w:rPr>
                <w:rFonts w:cs="Arial"/>
                <w:sz w:val="10"/>
                <w:szCs w:val="16"/>
              </w:rPr>
            </w:pPr>
            <w:proofErr w:type="spellStart"/>
            <w:r>
              <w:rPr>
                <w:rFonts w:cs="Arial"/>
                <w:sz w:val="10"/>
                <w:szCs w:val="16"/>
              </w:rPr>
              <w:t>nse</w:t>
            </w:r>
            <w:proofErr w:type="spellEnd"/>
          </w:p>
        </w:tc>
      </w:tr>
      <w:tr w:rsidR="00115DD3" w:rsidRPr="00BC665D" w14:paraId="50282707" w14:textId="77777777" w:rsidTr="00115DD3">
        <w:trPr>
          <w:trHeight w:val="783"/>
          <w:tblCellSpacing w:w="20" w:type="dxa"/>
        </w:trPr>
        <w:tc>
          <w:tcPr>
            <w:tcW w:w="875" w:type="dxa"/>
            <w:vAlign w:val="center"/>
          </w:tcPr>
          <w:p w14:paraId="448A7609" w14:textId="77777777" w:rsidR="00115DD3" w:rsidRPr="004318B1" w:rsidRDefault="00115DD3" w:rsidP="004318B1">
            <w:pPr>
              <w:spacing w:after="0"/>
              <w:jc w:val="center"/>
              <w:rPr>
                <w:rFonts w:cs="Arial"/>
                <w:b/>
                <w:sz w:val="10"/>
                <w:szCs w:val="16"/>
              </w:rPr>
            </w:pPr>
            <w:r w:rsidRPr="004318B1">
              <w:rPr>
                <w:rFonts w:cs="Arial"/>
                <w:b/>
                <w:sz w:val="10"/>
                <w:szCs w:val="16"/>
              </w:rPr>
              <w:t>Remedial Engineer Actions Commence</w:t>
            </w:r>
          </w:p>
        </w:tc>
        <w:tc>
          <w:tcPr>
            <w:tcW w:w="584" w:type="dxa"/>
            <w:shd w:val="clear" w:color="auto" w:fill="FFFFFF" w:themeFill="background1"/>
            <w:vAlign w:val="center"/>
          </w:tcPr>
          <w:p w14:paraId="0EDF203F" w14:textId="6C774600" w:rsidR="00115DD3" w:rsidRPr="004318B1" w:rsidRDefault="00115DD3" w:rsidP="004318B1">
            <w:pPr>
              <w:spacing w:after="0"/>
              <w:jc w:val="center"/>
              <w:rPr>
                <w:rFonts w:cs="Arial"/>
                <w:sz w:val="10"/>
                <w:szCs w:val="16"/>
              </w:rPr>
            </w:pPr>
            <w:r w:rsidRPr="004318B1">
              <w:rPr>
                <w:rFonts w:cs="Arial"/>
                <w:sz w:val="10"/>
                <w:szCs w:val="16"/>
              </w:rPr>
              <w:t>2 Hours</w:t>
            </w:r>
          </w:p>
        </w:tc>
        <w:tc>
          <w:tcPr>
            <w:tcW w:w="584" w:type="dxa"/>
            <w:shd w:val="clear" w:color="auto" w:fill="FFFFFF" w:themeFill="background1"/>
            <w:vAlign w:val="center"/>
          </w:tcPr>
          <w:p w14:paraId="20E4D6B9" w14:textId="77777777" w:rsidR="00115DD3" w:rsidRPr="004318B1" w:rsidRDefault="00115DD3" w:rsidP="004318B1">
            <w:pPr>
              <w:spacing w:after="0"/>
              <w:jc w:val="center"/>
              <w:rPr>
                <w:rFonts w:cs="Arial"/>
                <w:sz w:val="10"/>
                <w:szCs w:val="16"/>
              </w:rPr>
            </w:pPr>
            <w:r w:rsidRPr="004318B1">
              <w:rPr>
                <w:rFonts w:cs="Arial"/>
                <w:sz w:val="10"/>
                <w:szCs w:val="16"/>
              </w:rPr>
              <w:t>2 Hours</w:t>
            </w:r>
          </w:p>
        </w:tc>
        <w:tc>
          <w:tcPr>
            <w:tcW w:w="584" w:type="dxa"/>
            <w:shd w:val="clear" w:color="auto" w:fill="FFFFFF" w:themeFill="background1"/>
            <w:vAlign w:val="center"/>
          </w:tcPr>
          <w:p w14:paraId="060E35C7" w14:textId="774CE896" w:rsidR="00115DD3" w:rsidRPr="004318B1" w:rsidRDefault="00115DD3" w:rsidP="004318B1">
            <w:pPr>
              <w:spacing w:after="0"/>
              <w:jc w:val="center"/>
              <w:rPr>
                <w:rFonts w:cs="Arial"/>
                <w:sz w:val="10"/>
                <w:szCs w:val="16"/>
              </w:rPr>
            </w:pPr>
            <w:r w:rsidRPr="004318B1">
              <w:rPr>
                <w:rFonts w:cs="Arial"/>
                <w:sz w:val="10"/>
                <w:szCs w:val="16"/>
              </w:rPr>
              <w:t>N/A</w:t>
            </w:r>
          </w:p>
        </w:tc>
        <w:tc>
          <w:tcPr>
            <w:tcW w:w="584" w:type="dxa"/>
            <w:shd w:val="clear" w:color="auto" w:fill="FFFFFF" w:themeFill="background1"/>
            <w:vAlign w:val="center"/>
          </w:tcPr>
          <w:p w14:paraId="6A31BA1B" w14:textId="7E5ABA06" w:rsidR="00115DD3" w:rsidRPr="004318B1" w:rsidRDefault="00115DD3" w:rsidP="004318B1">
            <w:pPr>
              <w:spacing w:after="0"/>
              <w:jc w:val="center"/>
              <w:rPr>
                <w:rFonts w:cs="Arial"/>
                <w:sz w:val="10"/>
                <w:szCs w:val="16"/>
              </w:rPr>
            </w:pPr>
            <w:r w:rsidRPr="004318B1">
              <w:rPr>
                <w:rFonts w:cs="Arial"/>
                <w:sz w:val="10"/>
                <w:szCs w:val="16"/>
              </w:rPr>
              <w:t>N/A</w:t>
            </w:r>
          </w:p>
        </w:tc>
        <w:tc>
          <w:tcPr>
            <w:tcW w:w="577" w:type="dxa"/>
            <w:shd w:val="clear" w:color="auto" w:fill="FFFFFF" w:themeFill="background1"/>
            <w:vAlign w:val="center"/>
          </w:tcPr>
          <w:p w14:paraId="10BD7B19" w14:textId="77777777" w:rsidR="00115DD3" w:rsidRPr="004318B1" w:rsidRDefault="00115DD3" w:rsidP="004318B1">
            <w:pPr>
              <w:spacing w:after="0"/>
              <w:jc w:val="center"/>
              <w:rPr>
                <w:rFonts w:cs="Arial"/>
                <w:sz w:val="10"/>
                <w:szCs w:val="16"/>
              </w:rPr>
            </w:pPr>
            <w:r w:rsidRPr="004318B1">
              <w:rPr>
                <w:rFonts w:cs="Arial"/>
                <w:sz w:val="10"/>
                <w:szCs w:val="16"/>
              </w:rPr>
              <w:t>N/A</w:t>
            </w:r>
          </w:p>
        </w:tc>
      </w:tr>
      <w:tr w:rsidR="00115DD3" w:rsidRPr="00BC665D" w14:paraId="56023E68" w14:textId="77777777" w:rsidTr="00115DD3">
        <w:trPr>
          <w:trHeight w:val="632"/>
          <w:tblCellSpacing w:w="20" w:type="dxa"/>
        </w:trPr>
        <w:tc>
          <w:tcPr>
            <w:tcW w:w="875" w:type="dxa"/>
            <w:shd w:val="clear" w:color="auto" w:fill="ADAFAF" w:themeFill="text2"/>
            <w:vAlign w:val="center"/>
          </w:tcPr>
          <w:p w14:paraId="2CE2AB2C" w14:textId="77777777" w:rsidR="00115DD3" w:rsidRPr="004318B1" w:rsidRDefault="00115DD3" w:rsidP="004318B1">
            <w:pPr>
              <w:spacing w:after="0"/>
              <w:jc w:val="center"/>
              <w:rPr>
                <w:rFonts w:cs="Arial"/>
                <w:b/>
                <w:sz w:val="10"/>
                <w:szCs w:val="16"/>
              </w:rPr>
            </w:pPr>
            <w:r w:rsidRPr="004318B1">
              <w:rPr>
                <w:rFonts w:cs="Arial"/>
                <w:b/>
                <w:sz w:val="10"/>
                <w:szCs w:val="16"/>
              </w:rPr>
              <w:t>Time to Resolve Fault**</w:t>
            </w:r>
          </w:p>
        </w:tc>
        <w:tc>
          <w:tcPr>
            <w:tcW w:w="584" w:type="dxa"/>
            <w:shd w:val="clear" w:color="auto" w:fill="ADAFAF" w:themeFill="text2"/>
            <w:vAlign w:val="center"/>
          </w:tcPr>
          <w:p w14:paraId="0ECD7A33" w14:textId="6012C2EE" w:rsidR="00115DD3" w:rsidRPr="004318B1" w:rsidRDefault="00115DD3" w:rsidP="004318B1">
            <w:pPr>
              <w:spacing w:after="0"/>
              <w:jc w:val="center"/>
              <w:rPr>
                <w:rFonts w:cs="Arial"/>
                <w:sz w:val="10"/>
                <w:szCs w:val="16"/>
              </w:rPr>
            </w:pPr>
            <w:r>
              <w:rPr>
                <w:rFonts w:cs="Arial"/>
                <w:sz w:val="10"/>
                <w:szCs w:val="16"/>
              </w:rPr>
              <w:t>5</w:t>
            </w:r>
            <w:r w:rsidRPr="004318B1">
              <w:rPr>
                <w:rFonts w:cs="Arial"/>
                <w:sz w:val="10"/>
                <w:szCs w:val="16"/>
              </w:rPr>
              <w:t xml:space="preserve"> Hours</w:t>
            </w:r>
          </w:p>
        </w:tc>
        <w:tc>
          <w:tcPr>
            <w:tcW w:w="584" w:type="dxa"/>
            <w:shd w:val="clear" w:color="auto" w:fill="ADAFAF" w:themeFill="text2"/>
            <w:vAlign w:val="center"/>
          </w:tcPr>
          <w:p w14:paraId="7BD5A761" w14:textId="39F34BB7" w:rsidR="00115DD3" w:rsidRPr="004318B1" w:rsidRDefault="00115DD3" w:rsidP="004318B1">
            <w:pPr>
              <w:spacing w:after="0"/>
              <w:jc w:val="center"/>
              <w:rPr>
                <w:rFonts w:cs="Arial"/>
                <w:sz w:val="10"/>
                <w:szCs w:val="16"/>
              </w:rPr>
            </w:pPr>
            <w:r>
              <w:rPr>
                <w:rFonts w:cs="Arial"/>
                <w:sz w:val="10"/>
                <w:szCs w:val="16"/>
              </w:rPr>
              <w:t>5</w:t>
            </w:r>
            <w:r w:rsidRPr="004318B1">
              <w:rPr>
                <w:rFonts w:cs="Arial"/>
                <w:sz w:val="10"/>
                <w:szCs w:val="16"/>
              </w:rPr>
              <w:t xml:space="preserve"> Hours</w:t>
            </w:r>
          </w:p>
        </w:tc>
        <w:tc>
          <w:tcPr>
            <w:tcW w:w="584" w:type="dxa"/>
            <w:shd w:val="clear" w:color="auto" w:fill="ADAFAF" w:themeFill="text2"/>
            <w:vAlign w:val="center"/>
          </w:tcPr>
          <w:p w14:paraId="4E831E90" w14:textId="0F1888CE" w:rsidR="00115DD3" w:rsidRPr="004318B1" w:rsidRDefault="00115DD3" w:rsidP="004318B1">
            <w:pPr>
              <w:spacing w:after="0"/>
              <w:jc w:val="center"/>
              <w:rPr>
                <w:rFonts w:cs="Arial"/>
                <w:sz w:val="10"/>
                <w:szCs w:val="16"/>
              </w:rPr>
            </w:pPr>
            <w:r w:rsidRPr="004318B1">
              <w:rPr>
                <w:rFonts w:cs="Arial"/>
                <w:sz w:val="10"/>
                <w:szCs w:val="16"/>
              </w:rPr>
              <w:t>N/A</w:t>
            </w:r>
          </w:p>
        </w:tc>
        <w:tc>
          <w:tcPr>
            <w:tcW w:w="584" w:type="dxa"/>
            <w:shd w:val="clear" w:color="auto" w:fill="ADAFAF" w:themeFill="text2"/>
            <w:vAlign w:val="center"/>
          </w:tcPr>
          <w:p w14:paraId="17384A90" w14:textId="341CD0C2" w:rsidR="00115DD3" w:rsidRPr="004318B1" w:rsidRDefault="00115DD3" w:rsidP="004318B1">
            <w:pPr>
              <w:spacing w:after="0"/>
              <w:jc w:val="center"/>
              <w:rPr>
                <w:rFonts w:cs="Arial"/>
                <w:sz w:val="10"/>
                <w:szCs w:val="16"/>
              </w:rPr>
            </w:pPr>
            <w:r w:rsidRPr="004318B1">
              <w:rPr>
                <w:rFonts w:cs="Arial"/>
                <w:sz w:val="10"/>
                <w:szCs w:val="16"/>
              </w:rPr>
              <w:t>N/A</w:t>
            </w:r>
          </w:p>
        </w:tc>
        <w:tc>
          <w:tcPr>
            <w:tcW w:w="577" w:type="dxa"/>
            <w:shd w:val="clear" w:color="auto" w:fill="ADAFAF" w:themeFill="text2"/>
            <w:vAlign w:val="center"/>
          </w:tcPr>
          <w:p w14:paraId="1013787E" w14:textId="46946F9E" w:rsidR="00115DD3" w:rsidRPr="004318B1" w:rsidRDefault="00115DD3" w:rsidP="004318B1">
            <w:pPr>
              <w:spacing w:after="0"/>
              <w:jc w:val="center"/>
              <w:rPr>
                <w:rFonts w:cs="Arial"/>
                <w:sz w:val="10"/>
                <w:szCs w:val="16"/>
              </w:rPr>
            </w:pPr>
            <w:r w:rsidRPr="004318B1">
              <w:rPr>
                <w:rFonts w:cs="Arial"/>
                <w:sz w:val="10"/>
                <w:szCs w:val="16"/>
              </w:rPr>
              <w:t>N/A</w:t>
            </w:r>
          </w:p>
        </w:tc>
      </w:tr>
    </w:tbl>
    <w:p w14:paraId="0B9325B3" w14:textId="4862B3ED" w:rsidR="00C57B84" w:rsidRDefault="00D64313" w:rsidP="00547B08">
      <w:r>
        <w:lastRenderedPageBreak/>
        <w:t xml:space="preserve">Hours of response is </w:t>
      </w:r>
      <w:r w:rsidR="004318B1">
        <w:t>dependent</w:t>
      </w:r>
      <w:r>
        <w:t xml:space="preserve"> on Service Level (Bronze, Silver, Silver Plus, Gold) </w:t>
      </w:r>
    </w:p>
    <w:p w14:paraId="29F104C5" w14:textId="77777777" w:rsidR="00C57B84" w:rsidRDefault="00D64313" w:rsidP="00547B08">
      <w:r>
        <w:t xml:space="preserve">All priority 1 &amp; 2 faults should be raised via the tickets system then followed by a phone call. </w:t>
      </w:r>
    </w:p>
    <w:p w14:paraId="1BEB040E" w14:textId="77777777" w:rsidR="00C57B84" w:rsidRDefault="00D64313" w:rsidP="00547B08">
      <w:r>
        <w:t xml:space="preserve">* Acknowledgement refers to an automated service which generates a response and alerts engineers of a service failure; or where there is dialogue between the client and the engineer. </w:t>
      </w:r>
    </w:p>
    <w:p w14:paraId="0F9A36DA" w14:textId="1E50C6E5" w:rsidR="00D64313" w:rsidRDefault="00D64313" w:rsidP="00547B08">
      <w:pPr>
        <w:rPr>
          <w:color w:val="F79220"/>
          <w:sz w:val="24"/>
          <w:szCs w:val="24"/>
        </w:rPr>
      </w:pPr>
      <w:r>
        <w:t xml:space="preserve">** We will use reasonable endeavours to adhere to the </w:t>
      </w:r>
      <w:proofErr w:type="spellStart"/>
      <w:r>
        <w:t>TTRF</w:t>
      </w:r>
      <w:proofErr w:type="spellEnd"/>
      <w:r>
        <w:t xml:space="preserve"> guidelines. Where fault resolution involves third parties, or hardware replacement, then this is subject to the support contracts in place with those parties.</w:t>
      </w:r>
    </w:p>
    <w:p w14:paraId="65596FDE" w14:textId="7159E02B" w:rsidR="00C57B84" w:rsidRDefault="00C57B84" w:rsidP="004318B1">
      <w:pPr>
        <w:pStyle w:val="Heading2"/>
      </w:pPr>
      <w:r>
        <w:t xml:space="preserve">Service </w:t>
      </w:r>
      <w:r w:rsidR="00115DD3">
        <w:t>c</w:t>
      </w:r>
      <w:r>
        <w:t xml:space="preserve">redits </w:t>
      </w:r>
    </w:p>
    <w:p w14:paraId="429E8A9F" w14:textId="2F102CE2" w:rsidR="00C57B84" w:rsidRDefault="004318B1" w:rsidP="004318B1">
      <w:pPr>
        <w:pStyle w:val="Heading3"/>
      </w:pPr>
      <w:r>
        <w:t xml:space="preserve"> </w:t>
      </w:r>
      <w:r w:rsidR="00C57B84">
        <w:t xml:space="preserve">Availability </w:t>
      </w:r>
    </w:p>
    <w:p w14:paraId="5D3A55DF" w14:textId="77777777" w:rsidR="00C57B84" w:rsidRDefault="00C57B84" w:rsidP="00C57B84">
      <w:r>
        <w:t xml:space="preserve">Node4 will provide the Customer with service credits, as set out below, for the failure to meet the following targets: </w:t>
      </w:r>
    </w:p>
    <w:p w14:paraId="084B863E" w14:textId="77777777" w:rsidR="00C57B84" w:rsidRDefault="00C57B84" w:rsidP="00C57B84">
      <w:r>
        <w:t xml:space="preserve">The Service is “Available” when calls can be made or received from the </w:t>
      </w:r>
      <w:proofErr w:type="spellStart"/>
      <w:r>
        <w:t>PSTN</w:t>
      </w:r>
      <w:proofErr w:type="spellEnd"/>
      <w:r>
        <w:t xml:space="preserve">, excluding connectivity and customer equipment. </w:t>
      </w:r>
    </w:p>
    <w:p w14:paraId="72F5C4D2" w14:textId="77777777" w:rsidR="00C57B84" w:rsidRDefault="00C57B84" w:rsidP="00C57B84">
      <w:r>
        <w:t xml:space="preserve">The following equation will be used to calculate Service Availability. References to hours are to the number of hours in the applicable Monthly Review Period: </w:t>
      </w:r>
    </w:p>
    <w:p w14:paraId="2E2507E3" w14:textId="598C8E72" w:rsidR="00C57B84" w:rsidRDefault="00C57B84" w:rsidP="00C57B84">
      <w:pPr>
        <w:rPr>
          <w:b/>
        </w:rPr>
      </w:pPr>
      <w:r w:rsidRPr="004318B1">
        <w:rPr>
          <w:b/>
        </w:rPr>
        <w:t>((Total hours – Total hours Unavailable)/Total hours) x 100</w:t>
      </w:r>
    </w:p>
    <w:tbl>
      <w:tblPr>
        <w:tblStyle w:val="TableGrid"/>
        <w:tblW w:w="4516"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258"/>
        <w:gridCol w:w="2258"/>
      </w:tblGrid>
      <w:tr w:rsidR="004318B1" w:rsidRPr="00BC665D" w14:paraId="16CD411F" w14:textId="77777777" w:rsidTr="004318B1">
        <w:trPr>
          <w:trHeight w:val="631"/>
          <w:tblCellSpacing w:w="20" w:type="dxa"/>
        </w:trPr>
        <w:tc>
          <w:tcPr>
            <w:tcW w:w="2198" w:type="dxa"/>
            <w:shd w:val="clear" w:color="auto" w:fill="323232" w:themeFill="text1"/>
            <w:vAlign w:val="bottom"/>
          </w:tcPr>
          <w:p w14:paraId="5023B979" w14:textId="2793D278" w:rsidR="004318B1" w:rsidRPr="00713767" w:rsidRDefault="004318B1" w:rsidP="004318B1">
            <w:pPr>
              <w:jc w:val="center"/>
              <w:rPr>
                <w:rFonts w:cs="Arial"/>
                <w:b/>
                <w:color w:val="FFFFFF"/>
                <w:sz w:val="14"/>
                <w:szCs w:val="16"/>
              </w:rPr>
            </w:pPr>
            <w:r>
              <w:rPr>
                <w:rFonts w:cs="Arial"/>
                <w:b/>
                <w:color w:val="FFFFFF"/>
                <w:sz w:val="14"/>
                <w:szCs w:val="16"/>
              </w:rPr>
              <w:t>Service Availability During Monthly Review Period (Switch Service)</w:t>
            </w:r>
          </w:p>
        </w:tc>
        <w:tc>
          <w:tcPr>
            <w:tcW w:w="2198" w:type="dxa"/>
            <w:shd w:val="clear" w:color="auto" w:fill="323232" w:themeFill="text1"/>
            <w:vAlign w:val="center"/>
          </w:tcPr>
          <w:p w14:paraId="058F46AE" w14:textId="08F022E0" w:rsidR="004318B1" w:rsidRPr="00713767" w:rsidRDefault="004318B1" w:rsidP="004318B1">
            <w:pPr>
              <w:jc w:val="center"/>
              <w:rPr>
                <w:rFonts w:cs="Arial"/>
                <w:b/>
                <w:color w:val="FFFFFF"/>
                <w:sz w:val="14"/>
                <w:szCs w:val="16"/>
              </w:rPr>
            </w:pPr>
            <w:r>
              <w:rPr>
                <w:rFonts w:cs="Arial"/>
                <w:b/>
                <w:color w:val="FFFFFF"/>
                <w:sz w:val="14"/>
                <w:szCs w:val="16"/>
              </w:rPr>
              <w:t>Service Credits as % of Monthly Rental Fees (Excluding Calls)</w:t>
            </w:r>
          </w:p>
        </w:tc>
      </w:tr>
      <w:tr w:rsidR="004318B1" w:rsidRPr="00BC665D" w14:paraId="2EA51F6E" w14:textId="77777777" w:rsidTr="004318B1">
        <w:trPr>
          <w:tblCellSpacing w:w="20" w:type="dxa"/>
        </w:trPr>
        <w:tc>
          <w:tcPr>
            <w:tcW w:w="2198" w:type="dxa"/>
            <w:shd w:val="clear" w:color="auto" w:fill="ADAFAF" w:themeFill="text2"/>
          </w:tcPr>
          <w:p w14:paraId="75D2E0FD" w14:textId="07B2A099" w:rsidR="004318B1" w:rsidRPr="004318B1" w:rsidRDefault="004318B1" w:rsidP="004318B1">
            <w:pPr>
              <w:jc w:val="center"/>
              <w:rPr>
                <w:rFonts w:cs="Arial"/>
                <w:sz w:val="14"/>
                <w:szCs w:val="16"/>
              </w:rPr>
            </w:pPr>
            <w:r w:rsidRPr="004318B1">
              <w:rPr>
                <w:rFonts w:cs="Arial"/>
                <w:sz w:val="14"/>
                <w:szCs w:val="16"/>
              </w:rPr>
              <w:t>&lt;99.9% - 99.8%</w:t>
            </w:r>
          </w:p>
        </w:tc>
        <w:tc>
          <w:tcPr>
            <w:tcW w:w="2198" w:type="dxa"/>
            <w:shd w:val="clear" w:color="auto" w:fill="ADAFAF" w:themeFill="text2"/>
          </w:tcPr>
          <w:p w14:paraId="360E428C" w14:textId="26355684" w:rsidR="004318B1" w:rsidRPr="004318B1" w:rsidRDefault="004318B1" w:rsidP="004318B1">
            <w:pPr>
              <w:jc w:val="center"/>
              <w:rPr>
                <w:rFonts w:cs="Arial"/>
                <w:sz w:val="14"/>
                <w:szCs w:val="16"/>
              </w:rPr>
            </w:pPr>
            <w:r w:rsidRPr="004318B1">
              <w:rPr>
                <w:rFonts w:cs="Arial"/>
                <w:sz w:val="14"/>
                <w:szCs w:val="16"/>
              </w:rPr>
              <w:t>5%</w:t>
            </w:r>
          </w:p>
        </w:tc>
      </w:tr>
      <w:tr w:rsidR="004318B1" w:rsidRPr="00BC665D" w14:paraId="3E785BBB" w14:textId="77777777" w:rsidTr="004318B1">
        <w:trPr>
          <w:tblCellSpacing w:w="20" w:type="dxa"/>
        </w:trPr>
        <w:tc>
          <w:tcPr>
            <w:tcW w:w="2198" w:type="dxa"/>
          </w:tcPr>
          <w:p w14:paraId="75142382" w14:textId="110EB176" w:rsidR="004318B1" w:rsidRPr="004318B1" w:rsidRDefault="004318B1" w:rsidP="004318B1">
            <w:pPr>
              <w:jc w:val="center"/>
              <w:rPr>
                <w:rFonts w:cs="Arial"/>
                <w:sz w:val="14"/>
                <w:szCs w:val="16"/>
              </w:rPr>
            </w:pPr>
            <w:r w:rsidRPr="004318B1">
              <w:rPr>
                <w:rFonts w:cs="Arial"/>
                <w:sz w:val="14"/>
                <w:szCs w:val="16"/>
              </w:rPr>
              <w:t>&lt;99.8% - 99.5%</w:t>
            </w:r>
          </w:p>
        </w:tc>
        <w:tc>
          <w:tcPr>
            <w:tcW w:w="2198" w:type="dxa"/>
          </w:tcPr>
          <w:p w14:paraId="20A3270B" w14:textId="6744C15F" w:rsidR="004318B1" w:rsidRPr="004318B1" w:rsidRDefault="004318B1" w:rsidP="004318B1">
            <w:pPr>
              <w:jc w:val="center"/>
              <w:rPr>
                <w:rFonts w:cs="Arial"/>
                <w:sz w:val="14"/>
                <w:szCs w:val="16"/>
              </w:rPr>
            </w:pPr>
            <w:r w:rsidRPr="004318B1">
              <w:rPr>
                <w:rFonts w:cs="Arial"/>
                <w:sz w:val="14"/>
                <w:szCs w:val="16"/>
              </w:rPr>
              <w:t>10%</w:t>
            </w:r>
          </w:p>
        </w:tc>
      </w:tr>
      <w:tr w:rsidR="004318B1" w:rsidRPr="00BC665D" w14:paraId="03F6806C" w14:textId="77777777" w:rsidTr="004318B1">
        <w:trPr>
          <w:tblCellSpacing w:w="20" w:type="dxa"/>
        </w:trPr>
        <w:tc>
          <w:tcPr>
            <w:tcW w:w="2198" w:type="dxa"/>
            <w:shd w:val="clear" w:color="auto" w:fill="ADAFAF" w:themeFill="text2"/>
          </w:tcPr>
          <w:p w14:paraId="2A63F2D2" w14:textId="7BBAB496" w:rsidR="004318B1" w:rsidRPr="004318B1" w:rsidRDefault="004318B1" w:rsidP="004318B1">
            <w:pPr>
              <w:jc w:val="center"/>
              <w:rPr>
                <w:rFonts w:cs="Arial"/>
                <w:sz w:val="14"/>
                <w:szCs w:val="16"/>
              </w:rPr>
            </w:pPr>
            <w:r w:rsidRPr="004318B1">
              <w:rPr>
                <w:rFonts w:cs="Arial"/>
                <w:sz w:val="14"/>
                <w:szCs w:val="16"/>
              </w:rPr>
              <w:t>&lt;99.5% - 99.0%</w:t>
            </w:r>
          </w:p>
        </w:tc>
        <w:tc>
          <w:tcPr>
            <w:tcW w:w="2198" w:type="dxa"/>
            <w:shd w:val="clear" w:color="auto" w:fill="ADAFAF" w:themeFill="text2"/>
          </w:tcPr>
          <w:p w14:paraId="57672C9E" w14:textId="53BB406D" w:rsidR="004318B1" w:rsidRPr="004318B1" w:rsidRDefault="004318B1" w:rsidP="004318B1">
            <w:pPr>
              <w:jc w:val="center"/>
              <w:rPr>
                <w:rFonts w:cs="Arial"/>
                <w:sz w:val="14"/>
                <w:szCs w:val="16"/>
              </w:rPr>
            </w:pPr>
            <w:r w:rsidRPr="004318B1">
              <w:rPr>
                <w:rFonts w:cs="Arial"/>
                <w:sz w:val="14"/>
                <w:szCs w:val="16"/>
              </w:rPr>
              <w:t>20%</w:t>
            </w:r>
          </w:p>
        </w:tc>
      </w:tr>
      <w:tr w:rsidR="004318B1" w:rsidRPr="00BC665D" w14:paraId="19205780" w14:textId="77777777" w:rsidTr="004318B1">
        <w:trPr>
          <w:tblCellSpacing w:w="20" w:type="dxa"/>
        </w:trPr>
        <w:tc>
          <w:tcPr>
            <w:tcW w:w="2198" w:type="dxa"/>
          </w:tcPr>
          <w:p w14:paraId="22A95646" w14:textId="44AECB96" w:rsidR="004318B1" w:rsidRPr="004318B1" w:rsidRDefault="004318B1" w:rsidP="004318B1">
            <w:pPr>
              <w:jc w:val="center"/>
              <w:rPr>
                <w:rFonts w:cs="Arial"/>
                <w:sz w:val="14"/>
                <w:szCs w:val="16"/>
              </w:rPr>
            </w:pPr>
            <w:r w:rsidRPr="004318B1">
              <w:rPr>
                <w:rFonts w:cs="Arial"/>
                <w:sz w:val="14"/>
                <w:szCs w:val="16"/>
              </w:rPr>
              <w:t>&lt;99.0% - 98.0%</w:t>
            </w:r>
          </w:p>
        </w:tc>
        <w:tc>
          <w:tcPr>
            <w:tcW w:w="2198" w:type="dxa"/>
          </w:tcPr>
          <w:p w14:paraId="555F8742" w14:textId="51A36EC3" w:rsidR="004318B1" w:rsidRPr="004318B1" w:rsidRDefault="004318B1" w:rsidP="004318B1">
            <w:pPr>
              <w:jc w:val="center"/>
              <w:rPr>
                <w:rFonts w:cs="Arial"/>
                <w:sz w:val="14"/>
                <w:szCs w:val="16"/>
              </w:rPr>
            </w:pPr>
            <w:r w:rsidRPr="004318B1">
              <w:rPr>
                <w:rFonts w:cs="Arial"/>
                <w:sz w:val="14"/>
                <w:szCs w:val="16"/>
              </w:rPr>
              <w:t>30%</w:t>
            </w:r>
          </w:p>
        </w:tc>
      </w:tr>
      <w:tr w:rsidR="004318B1" w:rsidRPr="00BC665D" w14:paraId="5918374F" w14:textId="77777777" w:rsidTr="004318B1">
        <w:trPr>
          <w:tblCellSpacing w:w="20" w:type="dxa"/>
        </w:trPr>
        <w:tc>
          <w:tcPr>
            <w:tcW w:w="2198" w:type="dxa"/>
            <w:shd w:val="clear" w:color="auto" w:fill="A6A6A6" w:themeFill="background1" w:themeFillShade="A6"/>
          </w:tcPr>
          <w:p w14:paraId="4F5F308A" w14:textId="00C52551" w:rsidR="004318B1" w:rsidRPr="004318B1" w:rsidRDefault="004318B1" w:rsidP="004318B1">
            <w:pPr>
              <w:jc w:val="center"/>
              <w:rPr>
                <w:rFonts w:cs="Arial"/>
                <w:sz w:val="14"/>
                <w:szCs w:val="16"/>
              </w:rPr>
            </w:pPr>
            <w:r w:rsidRPr="004318B1">
              <w:rPr>
                <w:rFonts w:cs="Arial"/>
                <w:sz w:val="14"/>
                <w:szCs w:val="16"/>
              </w:rPr>
              <w:t>&lt;98.0%</w:t>
            </w:r>
          </w:p>
        </w:tc>
        <w:tc>
          <w:tcPr>
            <w:tcW w:w="2198" w:type="dxa"/>
            <w:shd w:val="clear" w:color="auto" w:fill="A6A6A6" w:themeFill="background1" w:themeFillShade="A6"/>
          </w:tcPr>
          <w:p w14:paraId="11D5FB59" w14:textId="05DD0E87" w:rsidR="004318B1" w:rsidRPr="004318B1" w:rsidRDefault="004318B1" w:rsidP="004318B1">
            <w:pPr>
              <w:jc w:val="center"/>
              <w:rPr>
                <w:rFonts w:cs="Arial"/>
                <w:sz w:val="14"/>
                <w:szCs w:val="16"/>
              </w:rPr>
            </w:pPr>
            <w:r w:rsidRPr="004318B1">
              <w:rPr>
                <w:rFonts w:cs="Arial"/>
                <w:sz w:val="14"/>
                <w:szCs w:val="16"/>
              </w:rPr>
              <w:t>40%</w:t>
            </w:r>
          </w:p>
        </w:tc>
      </w:tr>
    </w:tbl>
    <w:p w14:paraId="00418376" w14:textId="73C60747" w:rsidR="00C57B84" w:rsidRPr="004318B1" w:rsidRDefault="00C57B84" w:rsidP="00C57B84">
      <w:pPr>
        <w:rPr>
          <w:b/>
        </w:rPr>
      </w:pPr>
    </w:p>
    <w:p w14:paraId="3EA6523A" w14:textId="340C21B0" w:rsidR="00A239FF" w:rsidRDefault="004318B1" w:rsidP="004318B1">
      <w:pPr>
        <w:pStyle w:val="Heading3"/>
      </w:pPr>
      <w:r>
        <w:t xml:space="preserve"> </w:t>
      </w:r>
      <w:r w:rsidR="00115DD3">
        <w:t>Calculation of s</w:t>
      </w:r>
      <w:r w:rsidR="00A239FF">
        <w:t xml:space="preserve">ervice </w:t>
      </w:r>
      <w:r w:rsidR="00115DD3">
        <w:t>c</w:t>
      </w:r>
      <w:r w:rsidR="00A239FF">
        <w:t xml:space="preserve">redits </w:t>
      </w:r>
    </w:p>
    <w:p w14:paraId="5B4948F7" w14:textId="77777777" w:rsidR="00A239FF" w:rsidRDefault="00A239FF" w:rsidP="00A239FF">
      <w:r>
        <w:t xml:space="preserve">Where a Monthly Review Period incorporates part of a month, any service credit will apply to a pro-rated monthly Rental Fee. </w:t>
      </w:r>
    </w:p>
    <w:p w14:paraId="61694797" w14:textId="77777777" w:rsidR="00A239FF" w:rsidRDefault="00A239FF" w:rsidP="00A239FF">
      <w:r>
        <w:t xml:space="preserve">Service credits will be calculated monthly, aggregated and credited to the Customer on a quarterly basis. </w:t>
      </w:r>
    </w:p>
    <w:p w14:paraId="277BB1C3" w14:textId="1EEC4DCA" w:rsidR="00A239FF" w:rsidRDefault="00A239FF" w:rsidP="00A239FF">
      <w:pPr>
        <w:rPr>
          <w:color w:val="F79220"/>
          <w:sz w:val="24"/>
          <w:szCs w:val="24"/>
        </w:rPr>
      </w:pPr>
      <w:r>
        <w:t xml:space="preserve">If a Service is cancelled during a Monthly Review Period, no service credit will be payable in respect of that circuit for that Monthly Review Period. </w:t>
      </w:r>
      <w:r>
        <w:rPr>
          <w:color w:val="F79220"/>
          <w:sz w:val="24"/>
          <w:szCs w:val="24"/>
        </w:rPr>
        <w:t xml:space="preserve"> </w:t>
      </w:r>
    </w:p>
    <w:p w14:paraId="6A71015E" w14:textId="1E56F058" w:rsidR="00A239FF" w:rsidRDefault="00A239FF" w:rsidP="00A239FF">
      <w:r>
        <w:t>The Customer must claim any service credit due to a failure to meet the Service Levels, in writing, within twenty-one (21) Business Days of the date at which the Customer could reasonably be expected to become aware of such failure, otherwise no service credits shall be payable. The Customer shall not be entitled to any service credits in respect of a claim unless and until Node4 has recei</w:t>
      </w:r>
      <w:bookmarkStart w:id="0" w:name="_GoBack"/>
      <w:bookmarkEnd w:id="0"/>
      <w:r>
        <w:t>ved notice of the claim in writing in accordance with the above. Should Node4 require additional information from the Customer, the Customer shall assist, and shall not be entitled to any service credits until Node4 has received all the information it has reasonably requested.</w:t>
      </w:r>
    </w:p>
    <w:p w14:paraId="6705D0CD" w14:textId="7233731A" w:rsidR="00852516" w:rsidRDefault="004318B1" w:rsidP="004318B1">
      <w:pPr>
        <w:pStyle w:val="Heading3"/>
      </w:pPr>
      <w:r>
        <w:t xml:space="preserve"> </w:t>
      </w:r>
      <w:r w:rsidR="00115DD3">
        <w:t>Exclusions to p</w:t>
      </w:r>
      <w:r w:rsidR="00852516">
        <w:t xml:space="preserve">ayment of </w:t>
      </w:r>
      <w:r w:rsidR="00115DD3">
        <w:t>s</w:t>
      </w:r>
      <w:r w:rsidR="00852516">
        <w:t xml:space="preserve">ervice </w:t>
      </w:r>
      <w:r w:rsidR="00115DD3">
        <w:t>c</w:t>
      </w:r>
      <w:r w:rsidR="00852516">
        <w:t xml:space="preserve">redits </w:t>
      </w:r>
    </w:p>
    <w:p w14:paraId="593801A2" w14:textId="77777777" w:rsidR="001C4C9E" w:rsidRDefault="00241064" w:rsidP="00852516">
      <w:r>
        <w:t xml:space="preserve">Without prejudice to or limitation of the definition of Service Availability, service credits will not be payable by Node4 to the Customer in relation to the Service Availability for faults or disruptions to the Services caused by any of the following: </w:t>
      </w:r>
    </w:p>
    <w:p w14:paraId="31E02FD7" w14:textId="0ECA79F3" w:rsidR="004318B1" w:rsidRDefault="00241064" w:rsidP="004318B1">
      <w:pPr>
        <w:pStyle w:val="ListParagraph"/>
        <w:jc w:val="left"/>
      </w:pPr>
      <w:r>
        <w:t>The fault, action or negligence of the Customer, its em</w:t>
      </w:r>
      <w:r w:rsidR="00630DDE">
        <w:t>ployees, agents or contractors;</w:t>
      </w:r>
    </w:p>
    <w:p w14:paraId="395C5C24" w14:textId="5AC7B757" w:rsidR="004318B1" w:rsidRDefault="00241064" w:rsidP="004318B1">
      <w:pPr>
        <w:pStyle w:val="ListParagraph"/>
        <w:jc w:val="left"/>
      </w:pPr>
      <w:r>
        <w:t>The Customer failing to comply with t</w:t>
      </w:r>
      <w:r w:rsidR="00630DDE">
        <w:t>he provisions of the Agreement;</w:t>
      </w:r>
    </w:p>
    <w:p w14:paraId="2130525C" w14:textId="30FF3531" w:rsidR="004318B1" w:rsidRDefault="00241064" w:rsidP="004318B1">
      <w:pPr>
        <w:pStyle w:val="ListParagraph"/>
        <w:jc w:val="left"/>
      </w:pPr>
      <w:r>
        <w:t>A fault in, or any other problem associated with, equipment connected on the Customer’s side of the Node4 Network termination point, except where such fault or problem is directly caused by the fault action or negligence of Node4, its employees, agents or contract</w:t>
      </w:r>
      <w:r w:rsidR="00630DDE">
        <w:t>ors;</w:t>
      </w:r>
    </w:p>
    <w:p w14:paraId="033FC72B" w14:textId="1CE4063D" w:rsidR="004318B1" w:rsidRDefault="00241064" w:rsidP="004318B1">
      <w:pPr>
        <w:pStyle w:val="ListParagraph"/>
        <w:jc w:val="left"/>
      </w:pPr>
      <w:r>
        <w:t>Any event described in Clause 10 (Force Majeure) o</w:t>
      </w:r>
      <w:r w:rsidR="00630DDE">
        <w:t>f Node4’s Terms and Conditions;</w:t>
      </w:r>
    </w:p>
    <w:p w14:paraId="0F904B9E" w14:textId="775FFCCB" w:rsidR="004318B1" w:rsidRDefault="00241064" w:rsidP="004318B1">
      <w:pPr>
        <w:pStyle w:val="ListParagraph"/>
        <w:jc w:val="left"/>
      </w:pPr>
      <w:r>
        <w:t xml:space="preserve">A failure by the Customer to give Node4 access to any equipment after being </w:t>
      </w:r>
      <w:r w:rsidR="004318B1">
        <w:t>requested to do so by Node4; or</w:t>
      </w:r>
    </w:p>
    <w:p w14:paraId="1F79E99F" w14:textId="4653CB04" w:rsidR="001C4C9E" w:rsidRDefault="004318B1" w:rsidP="004318B1">
      <w:pPr>
        <w:pStyle w:val="ListParagraph"/>
        <w:jc w:val="left"/>
      </w:pPr>
      <w:r>
        <w:t>Any Planned Outage.</w:t>
      </w:r>
    </w:p>
    <w:p w14:paraId="71CBB5B6" w14:textId="77777777" w:rsidR="001C4C9E" w:rsidRDefault="00241064" w:rsidP="00852516">
      <w:r>
        <w:lastRenderedPageBreak/>
        <w:t xml:space="preserve">Service credits are not applicable for more than one breach of any targets outlined in this document arising from the same occurrence. </w:t>
      </w:r>
    </w:p>
    <w:p w14:paraId="37275AC9" w14:textId="77777777" w:rsidR="001C4C9E" w:rsidRDefault="00241064" w:rsidP="00852516">
      <w:r>
        <w:t xml:space="preserve">In respect of any Monthly Review Period, the total amount of any service credits payable in relation to all Service Level breaches shall not exceed 50% of the monthly Fee for the affected Services. </w:t>
      </w:r>
    </w:p>
    <w:p w14:paraId="4A7D7C66" w14:textId="19E50DD2" w:rsidR="00B4571D" w:rsidRPr="00630DDE" w:rsidRDefault="00241064" w:rsidP="00797E34">
      <w:pPr>
        <w:rPr>
          <w:color w:val="F79220"/>
          <w:sz w:val="24"/>
          <w:szCs w:val="24"/>
        </w:rPr>
      </w:pPr>
      <w:r>
        <w:t xml:space="preserve">The provision of service credits shall be the sole and exclusive remedy for the failure to meet the Service Levels for the </w:t>
      </w:r>
      <w:proofErr w:type="spellStart"/>
      <w:r w:rsidR="00FB1AA9">
        <w:t>SIPLink</w:t>
      </w:r>
      <w:proofErr w:type="spellEnd"/>
      <w:r>
        <w:t xml:space="preserve"> Services. Node4 shall have no additional liability to the Customer in respect thereof.</w:t>
      </w:r>
    </w:p>
    <w:sectPr w:rsidR="00B4571D" w:rsidRPr="00630DDE" w:rsidSect="002B49F2">
      <w:headerReference w:type="default" r:id="rId17"/>
      <w:footerReference w:type="even" r:id="rId18"/>
      <w:footerReference w:type="default" r:id="rId19"/>
      <w:headerReference w:type="first" r:id="rId20"/>
      <w:footerReference w:type="first" r:id="rId21"/>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3E77" w14:textId="77777777" w:rsidR="002528D6" w:rsidRDefault="002528D6" w:rsidP="00763FA4">
      <w:pPr>
        <w:spacing w:after="0" w:line="240" w:lineRule="auto"/>
      </w:pPr>
      <w:r>
        <w:separator/>
      </w:r>
    </w:p>
  </w:endnote>
  <w:endnote w:type="continuationSeparator" w:id="0">
    <w:p w14:paraId="73C209CB" w14:textId="77777777" w:rsidR="002528D6" w:rsidRDefault="002528D6"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318B1" w:rsidRDefault="004318B1">
    <w:pPr>
      <w:pStyle w:val="Footer"/>
    </w:pPr>
  </w:p>
  <w:p w14:paraId="0E8778D2" w14:textId="77777777" w:rsidR="004318B1" w:rsidRDefault="004318B1">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318B1" w:rsidRPr="00C97C97" w:rsidRDefault="004318B1"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6B475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28282D97" w:rsidR="004318B1" w:rsidRPr="00C97C97" w:rsidRDefault="004318B1"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115DD3">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Pr>
            <w:color w:val="8E908F"/>
            <w:sz w:val="18"/>
            <w:szCs w:val="18"/>
          </w:rPr>
          <w:t>SIPLink</w:t>
        </w:r>
        <w:proofErr w:type="spellEnd"/>
        <w:r>
          <w:rPr>
            <w:color w:val="8E908F"/>
            <w:sz w:val="18"/>
            <w:szCs w:val="18"/>
          </w:rPr>
          <w:t xml:space="preserve"> (Node4’s SIP Trunk Service)</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sdtContent>
        <w:r>
          <w:rPr>
            <w:color w:val="8E908F"/>
            <w:sz w:val="18"/>
            <w:szCs w:val="18"/>
          </w:rPr>
          <w:t>28/07/2017</w:t>
        </w:r>
      </w:sdtContent>
    </w:sdt>
    <w:r>
      <w:tab/>
    </w:r>
    <w:r>
      <w:fldChar w:fldCharType="begin"/>
    </w:r>
    <w:r>
      <w:instrText xml:space="preserve"> PAGE  \* Arabic  \* MERGEFORMAT </w:instrText>
    </w:r>
    <w:r>
      <w:fldChar w:fldCharType="separate"/>
    </w:r>
    <w:r w:rsidR="00115DD3">
      <w:rPr>
        <w:noProof/>
      </w:rPr>
      <w:t>9</w:t>
    </w:r>
    <w:r>
      <w:fldChar w:fldCharType="end"/>
    </w:r>
    <w:r>
      <w:br/>
    </w:r>
  </w:p>
  <w:p w14:paraId="1E9E5FC7" w14:textId="77777777" w:rsidR="004318B1" w:rsidRPr="008E3675" w:rsidRDefault="004318B1"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318B1" w:rsidRDefault="004318B1"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B9B2C0"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318B1" w:rsidRPr="008E3675" w:rsidRDefault="004318B1"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318B1" w:rsidRPr="00067346" w:rsidRDefault="004318B1"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964C" w14:textId="77777777" w:rsidR="002528D6" w:rsidRDefault="002528D6" w:rsidP="00763FA4">
      <w:pPr>
        <w:spacing w:after="0" w:line="240" w:lineRule="auto"/>
      </w:pPr>
      <w:r>
        <w:separator/>
      </w:r>
    </w:p>
  </w:footnote>
  <w:footnote w:type="continuationSeparator" w:id="0">
    <w:p w14:paraId="6AAEFB6A" w14:textId="77777777" w:rsidR="002528D6" w:rsidRDefault="002528D6"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318B1" w:rsidRPr="00763FA4" w:rsidRDefault="004318B1"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Pr>
        <w:noProof/>
        <w:lang w:eastAsia="en-GB"/>
      </w:rPr>
      <w:tab/>
    </w:r>
    <w:r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318B1" w:rsidRDefault="004318B1">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854"/>
    <w:multiLevelType w:val="hybridMultilevel"/>
    <w:tmpl w:val="6472C59A"/>
    <w:lvl w:ilvl="0" w:tplc="3EE8BB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2" w15:restartNumberingAfterBreak="0">
    <w:nsid w:val="0E4065B9"/>
    <w:multiLevelType w:val="multilevel"/>
    <w:tmpl w:val="6BDA195A"/>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D50B9"/>
    <w:multiLevelType w:val="hybridMultilevel"/>
    <w:tmpl w:val="99280CFA"/>
    <w:lvl w:ilvl="0" w:tplc="49280386">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45DC9"/>
    <w:multiLevelType w:val="hybridMultilevel"/>
    <w:tmpl w:val="A9603276"/>
    <w:lvl w:ilvl="0" w:tplc="C1AA4CB8">
      <w:start w:val="1"/>
      <w:numFmt w:val="bullet"/>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561D0"/>
    <w:multiLevelType w:val="hybridMultilevel"/>
    <w:tmpl w:val="63B8DE42"/>
    <w:lvl w:ilvl="0" w:tplc="0C986EC8">
      <w:numFmt w:val="bullet"/>
      <w:lvlText w:val=""/>
      <w:lvlJc w:val="left"/>
      <w:pPr>
        <w:ind w:left="947" w:hanging="360"/>
      </w:pPr>
      <w:rPr>
        <w:rFonts w:ascii="Symbol" w:eastAsia="Symbol" w:hAnsi="Symbol" w:cs="Symbol" w:hint="default"/>
        <w:color w:val="181818"/>
        <w:w w:val="99"/>
        <w:sz w:val="20"/>
        <w:szCs w:val="20"/>
        <w:lang w:val="en-GB" w:eastAsia="en-GB" w:bidi="en-GB"/>
      </w:rPr>
    </w:lvl>
    <w:lvl w:ilvl="1" w:tplc="5350BA8C">
      <w:numFmt w:val="bullet"/>
      <w:lvlText w:val="•"/>
      <w:lvlJc w:val="left"/>
      <w:pPr>
        <w:ind w:left="1524" w:hanging="360"/>
      </w:pPr>
      <w:rPr>
        <w:rFonts w:hint="default"/>
        <w:lang w:val="en-GB" w:eastAsia="en-GB" w:bidi="en-GB"/>
      </w:rPr>
    </w:lvl>
    <w:lvl w:ilvl="2" w:tplc="0536334C">
      <w:numFmt w:val="bullet"/>
      <w:lvlText w:val="•"/>
      <w:lvlJc w:val="left"/>
      <w:pPr>
        <w:ind w:left="2108" w:hanging="360"/>
      </w:pPr>
      <w:rPr>
        <w:rFonts w:hint="default"/>
        <w:lang w:val="en-GB" w:eastAsia="en-GB" w:bidi="en-GB"/>
      </w:rPr>
    </w:lvl>
    <w:lvl w:ilvl="3" w:tplc="73EA587A">
      <w:numFmt w:val="bullet"/>
      <w:lvlText w:val="•"/>
      <w:lvlJc w:val="left"/>
      <w:pPr>
        <w:ind w:left="2692" w:hanging="360"/>
      </w:pPr>
      <w:rPr>
        <w:rFonts w:hint="default"/>
        <w:lang w:val="en-GB" w:eastAsia="en-GB" w:bidi="en-GB"/>
      </w:rPr>
    </w:lvl>
    <w:lvl w:ilvl="4" w:tplc="DA8008B0">
      <w:numFmt w:val="bullet"/>
      <w:lvlText w:val="•"/>
      <w:lvlJc w:val="left"/>
      <w:pPr>
        <w:ind w:left="3276" w:hanging="360"/>
      </w:pPr>
      <w:rPr>
        <w:rFonts w:hint="default"/>
        <w:lang w:val="en-GB" w:eastAsia="en-GB" w:bidi="en-GB"/>
      </w:rPr>
    </w:lvl>
    <w:lvl w:ilvl="5" w:tplc="81984976">
      <w:numFmt w:val="bullet"/>
      <w:lvlText w:val="•"/>
      <w:lvlJc w:val="left"/>
      <w:pPr>
        <w:ind w:left="3860" w:hanging="360"/>
      </w:pPr>
      <w:rPr>
        <w:rFonts w:hint="default"/>
        <w:lang w:val="en-GB" w:eastAsia="en-GB" w:bidi="en-GB"/>
      </w:rPr>
    </w:lvl>
    <w:lvl w:ilvl="6" w:tplc="CC86DAB8">
      <w:numFmt w:val="bullet"/>
      <w:lvlText w:val="•"/>
      <w:lvlJc w:val="left"/>
      <w:pPr>
        <w:ind w:left="4444" w:hanging="360"/>
      </w:pPr>
      <w:rPr>
        <w:rFonts w:hint="default"/>
        <w:lang w:val="en-GB" w:eastAsia="en-GB" w:bidi="en-GB"/>
      </w:rPr>
    </w:lvl>
    <w:lvl w:ilvl="7" w:tplc="86DC07BE">
      <w:numFmt w:val="bullet"/>
      <w:lvlText w:val="•"/>
      <w:lvlJc w:val="left"/>
      <w:pPr>
        <w:ind w:left="5028" w:hanging="360"/>
      </w:pPr>
      <w:rPr>
        <w:rFonts w:hint="default"/>
        <w:lang w:val="en-GB" w:eastAsia="en-GB" w:bidi="en-GB"/>
      </w:rPr>
    </w:lvl>
    <w:lvl w:ilvl="8" w:tplc="75EC690E">
      <w:numFmt w:val="bullet"/>
      <w:lvlText w:val="•"/>
      <w:lvlJc w:val="left"/>
      <w:pPr>
        <w:ind w:left="5612" w:hanging="360"/>
      </w:pPr>
      <w:rPr>
        <w:rFonts w:hint="default"/>
        <w:lang w:val="en-GB" w:eastAsia="en-GB" w:bidi="en-GB"/>
      </w:rPr>
    </w:lvl>
  </w:abstractNum>
  <w:abstractNum w:abstractNumId="26" w15:restartNumberingAfterBreak="0">
    <w:nsid w:val="63556CC4"/>
    <w:multiLevelType w:val="hybridMultilevel"/>
    <w:tmpl w:val="F794850E"/>
    <w:lvl w:ilvl="0" w:tplc="13087734">
      <w:numFmt w:val="bullet"/>
      <w:lvlText w:val=""/>
      <w:lvlJc w:val="left"/>
      <w:pPr>
        <w:ind w:left="947" w:hanging="360"/>
      </w:pPr>
      <w:rPr>
        <w:rFonts w:ascii="Symbol" w:eastAsia="Symbol" w:hAnsi="Symbol" w:cs="Symbol" w:hint="default"/>
        <w:color w:val="181818"/>
        <w:w w:val="99"/>
        <w:sz w:val="20"/>
        <w:szCs w:val="20"/>
        <w:lang w:val="en-GB" w:eastAsia="en-GB" w:bidi="en-GB"/>
      </w:rPr>
    </w:lvl>
    <w:lvl w:ilvl="1" w:tplc="6A04955E">
      <w:numFmt w:val="bullet"/>
      <w:lvlText w:val="•"/>
      <w:lvlJc w:val="left"/>
      <w:pPr>
        <w:ind w:left="1524" w:hanging="360"/>
      </w:pPr>
      <w:rPr>
        <w:rFonts w:hint="default"/>
        <w:lang w:val="en-GB" w:eastAsia="en-GB" w:bidi="en-GB"/>
      </w:rPr>
    </w:lvl>
    <w:lvl w:ilvl="2" w:tplc="B9E0791E">
      <w:numFmt w:val="bullet"/>
      <w:lvlText w:val="•"/>
      <w:lvlJc w:val="left"/>
      <w:pPr>
        <w:ind w:left="2108" w:hanging="360"/>
      </w:pPr>
      <w:rPr>
        <w:rFonts w:hint="default"/>
        <w:lang w:val="en-GB" w:eastAsia="en-GB" w:bidi="en-GB"/>
      </w:rPr>
    </w:lvl>
    <w:lvl w:ilvl="3" w:tplc="E34C5742">
      <w:numFmt w:val="bullet"/>
      <w:lvlText w:val="•"/>
      <w:lvlJc w:val="left"/>
      <w:pPr>
        <w:ind w:left="2692" w:hanging="360"/>
      </w:pPr>
      <w:rPr>
        <w:rFonts w:hint="default"/>
        <w:lang w:val="en-GB" w:eastAsia="en-GB" w:bidi="en-GB"/>
      </w:rPr>
    </w:lvl>
    <w:lvl w:ilvl="4" w:tplc="F474A1D8">
      <w:numFmt w:val="bullet"/>
      <w:lvlText w:val="•"/>
      <w:lvlJc w:val="left"/>
      <w:pPr>
        <w:ind w:left="3276" w:hanging="360"/>
      </w:pPr>
      <w:rPr>
        <w:rFonts w:hint="default"/>
        <w:lang w:val="en-GB" w:eastAsia="en-GB" w:bidi="en-GB"/>
      </w:rPr>
    </w:lvl>
    <w:lvl w:ilvl="5" w:tplc="625E2798">
      <w:numFmt w:val="bullet"/>
      <w:lvlText w:val="•"/>
      <w:lvlJc w:val="left"/>
      <w:pPr>
        <w:ind w:left="3860" w:hanging="360"/>
      </w:pPr>
      <w:rPr>
        <w:rFonts w:hint="default"/>
        <w:lang w:val="en-GB" w:eastAsia="en-GB" w:bidi="en-GB"/>
      </w:rPr>
    </w:lvl>
    <w:lvl w:ilvl="6" w:tplc="46F473F2">
      <w:numFmt w:val="bullet"/>
      <w:lvlText w:val="•"/>
      <w:lvlJc w:val="left"/>
      <w:pPr>
        <w:ind w:left="4444" w:hanging="360"/>
      </w:pPr>
      <w:rPr>
        <w:rFonts w:hint="default"/>
        <w:lang w:val="en-GB" w:eastAsia="en-GB" w:bidi="en-GB"/>
      </w:rPr>
    </w:lvl>
    <w:lvl w:ilvl="7" w:tplc="7F6A779A">
      <w:numFmt w:val="bullet"/>
      <w:lvlText w:val="•"/>
      <w:lvlJc w:val="left"/>
      <w:pPr>
        <w:ind w:left="5028" w:hanging="360"/>
      </w:pPr>
      <w:rPr>
        <w:rFonts w:hint="default"/>
        <w:lang w:val="en-GB" w:eastAsia="en-GB" w:bidi="en-GB"/>
      </w:rPr>
    </w:lvl>
    <w:lvl w:ilvl="8" w:tplc="BDB67564">
      <w:numFmt w:val="bullet"/>
      <w:lvlText w:val="•"/>
      <w:lvlJc w:val="left"/>
      <w:pPr>
        <w:ind w:left="5612" w:hanging="360"/>
      </w:pPr>
      <w:rPr>
        <w:rFonts w:hint="default"/>
        <w:lang w:val="en-GB" w:eastAsia="en-GB" w:bidi="en-GB"/>
      </w:rPr>
    </w:lvl>
  </w:abstractNum>
  <w:abstractNum w:abstractNumId="27"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80F97"/>
    <w:multiLevelType w:val="multilevel"/>
    <w:tmpl w:val="78B64E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8"/>
  </w:num>
  <w:num w:numId="4">
    <w:abstractNumId w:val="19"/>
  </w:num>
  <w:num w:numId="5">
    <w:abstractNumId w:val="31"/>
  </w:num>
  <w:num w:numId="6">
    <w:abstractNumId w:val="13"/>
  </w:num>
  <w:num w:numId="7">
    <w:abstractNumId w:val="23"/>
  </w:num>
  <w:num w:numId="8">
    <w:abstractNumId w:val="3"/>
  </w:num>
  <w:num w:numId="9">
    <w:abstractNumId w:val="34"/>
  </w:num>
  <w:num w:numId="10">
    <w:abstractNumId w:val="21"/>
  </w:num>
  <w:num w:numId="11">
    <w:abstractNumId w:val="10"/>
  </w:num>
  <w:num w:numId="12">
    <w:abstractNumId w:val="17"/>
  </w:num>
  <w:num w:numId="13">
    <w:abstractNumId w:val="24"/>
  </w:num>
  <w:num w:numId="14">
    <w:abstractNumId w:val="9"/>
  </w:num>
  <w:num w:numId="15">
    <w:abstractNumId w:val="11"/>
  </w:num>
  <w:num w:numId="16">
    <w:abstractNumId w:val="4"/>
  </w:num>
  <w:num w:numId="17">
    <w:abstractNumId w:val="6"/>
  </w:num>
  <w:num w:numId="18">
    <w:abstractNumId w:val="33"/>
  </w:num>
  <w:num w:numId="19">
    <w:abstractNumId w:val="5"/>
  </w:num>
  <w:num w:numId="20">
    <w:abstractNumId w:val="12"/>
  </w:num>
  <w:num w:numId="21">
    <w:abstractNumId w:val="7"/>
  </w:num>
  <w:num w:numId="22">
    <w:abstractNumId w:val="18"/>
  </w:num>
  <w:num w:numId="23">
    <w:abstractNumId w:val="15"/>
  </w:num>
  <w:num w:numId="24">
    <w:abstractNumId w:val="32"/>
  </w:num>
  <w:num w:numId="25">
    <w:abstractNumId w:val="29"/>
  </w:num>
  <w:num w:numId="26">
    <w:abstractNumId w:val="8"/>
  </w:num>
  <w:num w:numId="27">
    <w:abstractNumId w:val="1"/>
  </w:num>
  <w:num w:numId="28">
    <w:abstractNumId w:val="22"/>
  </w:num>
  <w:num w:numId="29">
    <w:abstractNumId w:val="2"/>
  </w:num>
  <w:num w:numId="30">
    <w:abstractNumId w:val="20"/>
  </w:num>
  <w:num w:numId="31">
    <w:abstractNumId w:val="14"/>
  </w:num>
  <w:num w:numId="32">
    <w:abstractNumId w:val="25"/>
  </w:num>
  <w:num w:numId="33">
    <w:abstractNumId w:val="26"/>
  </w:num>
  <w:num w:numId="34">
    <w:abstractNumId w:val="30"/>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31CC"/>
    <w:rsid w:val="00077330"/>
    <w:rsid w:val="0008650A"/>
    <w:rsid w:val="00093621"/>
    <w:rsid w:val="000A1B1D"/>
    <w:rsid w:val="000A55BE"/>
    <w:rsid w:val="000D7DBE"/>
    <w:rsid w:val="000E35B3"/>
    <w:rsid w:val="000E69BA"/>
    <w:rsid w:val="00100C19"/>
    <w:rsid w:val="0010129F"/>
    <w:rsid w:val="00101615"/>
    <w:rsid w:val="00111FF3"/>
    <w:rsid w:val="00113F12"/>
    <w:rsid w:val="00115DD3"/>
    <w:rsid w:val="00132E60"/>
    <w:rsid w:val="001409FA"/>
    <w:rsid w:val="00143442"/>
    <w:rsid w:val="0016150F"/>
    <w:rsid w:val="0017619C"/>
    <w:rsid w:val="001A1BCF"/>
    <w:rsid w:val="001B12F2"/>
    <w:rsid w:val="001B5930"/>
    <w:rsid w:val="001B70C6"/>
    <w:rsid w:val="001C4C9E"/>
    <w:rsid w:val="001C66EC"/>
    <w:rsid w:val="001E1CB2"/>
    <w:rsid w:val="001E6491"/>
    <w:rsid w:val="001E6E78"/>
    <w:rsid w:val="00207133"/>
    <w:rsid w:val="00214D4F"/>
    <w:rsid w:val="002239E7"/>
    <w:rsid w:val="00240B63"/>
    <w:rsid w:val="00240D1F"/>
    <w:rsid w:val="00241064"/>
    <w:rsid w:val="00245ED4"/>
    <w:rsid w:val="002463BF"/>
    <w:rsid w:val="002528D6"/>
    <w:rsid w:val="00263CF5"/>
    <w:rsid w:val="00272227"/>
    <w:rsid w:val="0027312C"/>
    <w:rsid w:val="002769BC"/>
    <w:rsid w:val="00287729"/>
    <w:rsid w:val="002A2301"/>
    <w:rsid w:val="002B1EE2"/>
    <w:rsid w:val="002B28D7"/>
    <w:rsid w:val="002B49F2"/>
    <w:rsid w:val="002D1893"/>
    <w:rsid w:val="002D35C9"/>
    <w:rsid w:val="002D5240"/>
    <w:rsid w:val="002D6205"/>
    <w:rsid w:val="002E3061"/>
    <w:rsid w:val="002E5F5E"/>
    <w:rsid w:val="002E71FD"/>
    <w:rsid w:val="002F0B7B"/>
    <w:rsid w:val="002F0D04"/>
    <w:rsid w:val="00301C5E"/>
    <w:rsid w:val="003164B8"/>
    <w:rsid w:val="00325DE8"/>
    <w:rsid w:val="0032708E"/>
    <w:rsid w:val="00341339"/>
    <w:rsid w:val="003424E0"/>
    <w:rsid w:val="0035483D"/>
    <w:rsid w:val="00366030"/>
    <w:rsid w:val="00381C86"/>
    <w:rsid w:val="003909DD"/>
    <w:rsid w:val="003976A9"/>
    <w:rsid w:val="003B21D5"/>
    <w:rsid w:val="003B3E43"/>
    <w:rsid w:val="003B77B0"/>
    <w:rsid w:val="003C6392"/>
    <w:rsid w:val="003D0307"/>
    <w:rsid w:val="003D47D2"/>
    <w:rsid w:val="003E5E71"/>
    <w:rsid w:val="00403516"/>
    <w:rsid w:val="00422732"/>
    <w:rsid w:val="00425C9B"/>
    <w:rsid w:val="004318B1"/>
    <w:rsid w:val="0045292A"/>
    <w:rsid w:val="0046043E"/>
    <w:rsid w:val="00462B63"/>
    <w:rsid w:val="00462DDE"/>
    <w:rsid w:val="004705EF"/>
    <w:rsid w:val="00480B5B"/>
    <w:rsid w:val="0048299E"/>
    <w:rsid w:val="004839D0"/>
    <w:rsid w:val="00485800"/>
    <w:rsid w:val="004918E2"/>
    <w:rsid w:val="0049469E"/>
    <w:rsid w:val="004A44E9"/>
    <w:rsid w:val="004A6FB8"/>
    <w:rsid w:val="004A70DC"/>
    <w:rsid w:val="004B0358"/>
    <w:rsid w:val="004B17DE"/>
    <w:rsid w:val="004E06FA"/>
    <w:rsid w:val="004F0CB2"/>
    <w:rsid w:val="004F5462"/>
    <w:rsid w:val="004F6F21"/>
    <w:rsid w:val="0050180A"/>
    <w:rsid w:val="00522760"/>
    <w:rsid w:val="00525B78"/>
    <w:rsid w:val="0053127D"/>
    <w:rsid w:val="0053413D"/>
    <w:rsid w:val="00534CC3"/>
    <w:rsid w:val="0054015F"/>
    <w:rsid w:val="00541405"/>
    <w:rsid w:val="0054255B"/>
    <w:rsid w:val="00547B08"/>
    <w:rsid w:val="0056188E"/>
    <w:rsid w:val="00566132"/>
    <w:rsid w:val="005868E5"/>
    <w:rsid w:val="0059650F"/>
    <w:rsid w:val="005C186A"/>
    <w:rsid w:val="005C6767"/>
    <w:rsid w:val="005D4DA2"/>
    <w:rsid w:val="005E194C"/>
    <w:rsid w:val="005E4B0D"/>
    <w:rsid w:val="005F2C2E"/>
    <w:rsid w:val="005F5647"/>
    <w:rsid w:val="00600920"/>
    <w:rsid w:val="006134F6"/>
    <w:rsid w:val="00630DDE"/>
    <w:rsid w:val="00632D42"/>
    <w:rsid w:val="00643F14"/>
    <w:rsid w:val="00644C4C"/>
    <w:rsid w:val="00650299"/>
    <w:rsid w:val="00652EE3"/>
    <w:rsid w:val="00660D7D"/>
    <w:rsid w:val="00662A4E"/>
    <w:rsid w:val="00676B31"/>
    <w:rsid w:val="006855F2"/>
    <w:rsid w:val="00687C8B"/>
    <w:rsid w:val="00697287"/>
    <w:rsid w:val="006A1750"/>
    <w:rsid w:val="006A18F8"/>
    <w:rsid w:val="006A4655"/>
    <w:rsid w:val="006B0EEC"/>
    <w:rsid w:val="006C2FB9"/>
    <w:rsid w:val="006D088E"/>
    <w:rsid w:val="006D601C"/>
    <w:rsid w:val="006F63EE"/>
    <w:rsid w:val="006F66BB"/>
    <w:rsid w:val="007106CD"/>
    <w:rsid w:val="0073431C"/>
    <w:rsid w:val="00742A78"/>
    <w:rsid w:val="007475F9"/>
    <w:rsid w:val="00747761"/>
    <w:rsid w:val="00747BE2"/>
    <w:rsid w:val="00756285"/>
    <w:rsid w:val="00756A2E"/>
    <w:rsid w:val="00763FA4"/>
    <w:rsid w:val="007672D0"/>
    <w:rsid w:val="00773A92"/>
    <w:rsid w:val="00793E95"/>
    <w:rsid w:val="00794A9C"/>
    <w:rsid w:val="00797E34"/>
    <w:rsid w:val="007A5901"/>
    <w:rsid w:val="007A6293"/>
    <w:rsid w:val="007B7467"/>
    <w:rsid w:val="007C7A85"/>
    <w:rsid w:val="007D28E9"/>
    <w:rsid w:val="007D5A22"/>
    <w:rsid w:val="007D7C28"/>
    <w:rsid w:val="007E4014"/>
    <w:rsid w:val="007F4166"/>
    <w:rsid w:val="007F494D"/>
    <w:rsid w:val="008073A7"/>
    <w:rsid w:val="008119B0"/>
    <w:rsid w:val="008363C3"/>
    <w:rsid w:val="008364C6"/>
    <w:rsid w:val="00836FAB"/>
    <w:rsid w:val="00840537"/>
    <w:rsid w:val="00845F55"/>
    <w:rsid w:val="0085185B"/>
    <w:rsid w:val="00852516"/>
    <w:rsid w:val="0085701A"/>
    <w:rsid w:val="0087272A"/>
    <w:rsid w:val="0088439A"/>
    <w:rsid w:val="00891905"/>
    <w:rsid w:val="00896AEC"/>
    <w:rsid w:val="008A359A"/>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D381F"/>
    <w:rsid w:val="009E0518"/>
    <w:rsid w:val="009F1480"/>
    <w:rsid w:val="009F38D2"/>
    <w:rsid w:val="009F424A"/>
    <w:rsid w:val="009F6B0B"/>
    <w:rsid w:val="00A01207"/>
    <w:rsid w:val="00A04071"/>
    <w:rsid w:val="00A04492"/>
    <w:rsid w:val="00A063C6"/>
    <w:rsid w:val="00A239FF"/>
    <w:rsid w:val="00A3376E"/>
    <w:rsid w:val="00A63240"/>
    <w:rsid w:val="00A7112C"/>
    <w:rsid w:val="00A74166"/>
    <w:rsid w:val="00A92937"/>
    <w:rsid w:val="00A97CDC"/>
    <w:rsid w:val="00AB49E0"/>
    <w:rsid w:val="00AC048B"/>
    <w:rsid w:val="00AC1C7B"/>
    <w:rsid w:val="00AD3EAD"/>
    <w:rsid w:val="00AD6F1F"/>
    <w:rsid w:val="00AF7FCB"/>
    <w:rsid w:val="00B0371D"/>
    <w:rsid w:val="00B314EF"/>
    <w:rsid w:val="00B36391"/>
    <w:rsid w:val="00B42790"/>
    <w:rsid w:val="00B4571D"/>
    <w:rsid w:val="00B61198"/>
    <w:rsid w:val="00B71EBF"/>
    <w:rsid w:val="00B740D1"/>
    <w:rsid w:val="00B7653F"/>
    <w:rsid w:val="00B81D63"/>
    <w:rsid w:val="00B91F25"/>
    <w:rsid w:val="00B96AD3"/>
    <w:rsid w:val="00BB249A"/>
    <w:rsid w:val="00BB4727"/>
    <w:rsid w:val="00BB5A9C"/>
    <w:rsid w:val="00BC665D"/>
    <w:rsid w:val="00BD048B"/>
    <w:rsid w:val="00BE3686"/>
    <w:rsid w:val="00BE78C4"/>
    <w:rsid w:val="00BF5640"/>
    <w:rsid w:val="00BF700D"/>
    <w:rsid w:val="00BF72B0"/>
    <w:rsid w:val="00C0107A"/>
    <w:rsid w:val="00C022C8"/>
    <w:rsid w:val="00C04256"/>
    <w:rsid w:val="00C21646"/>
    <w:rsid w:val="00C2544F"/>
    <w:rsid w:val="00C26C1B"/>
    <w:rsid w:val="00C40D9C"/>
    <w:rsid w:val="00C4201D"/>
    <w:rsid w:val="00C514BD"/>
    <w:rsid w:val="00C57B83"/>
    <w:rsid w:val="00C57B84"/>
    <w:rsid w:val="00C65C18"/>
    <w:rsid w:val="00C97C97"/>
    <w:rsid w:val="00CA644F"/>
    <w:rsid w:val="00CB1ECE"/>
    <w:rsid w:val="00CB7C54"/>
    <w:rsid w:val="00CC645D"/>
    <w:rsid w:val="00CD0668"/>
    <w:rsid w:val="00CD3CAB"/>
    <w:rsid w:val="00CF4390"/>
    <w:rsid w:val="00D03054"/>
    <w:rsid w:val="00D15A65"/>
    <w:rsid w:val="00D20D1D"/>
    <w:rsid w:val="00D25D04"/>
    <w:rsid w:val="00D30F7E"/>
    <w:rsid w:val="00D31E6E"/>
    <w:rsid w:val="00D31FEE"/>
    <w:rsid w:val="00D342B8"/>
    <w:rsid w:val="00D35A92"/>
    <w:rsid w:val="00D439D0"/>
    <w:rsid w:val="00D44323"/>
    <w:rsid w:val="00D64313"/>
    <w:rsid w:val="00D81270"/>
    <w:rsid w:val="00D9612B"/>
    <w:rsid w:val="00DA7011"/>
    <w:rsid w:val="00DA7250"/>
    <w:rsid w:val="00DA76FC"/>
    <w:rsid w:val="00DB253A"/>
    <w:rsid w:val="00DB2C59"/>
    <w:rsid w:val="00DD320F"/>
    <w:rsid w:val="00DD4B53"/>
    <w:rsid w:val="00DD4DB7"/>
    <w:rsid w:val="00E26340"/>
    <w:rsid w:val="00E62938"/>
    <w:rsid w:val="00E62BEA"/>
    <w:rsid w:val="00E7069F"/>
    <w:rsid w:val="00EA194C"/>
    <w:rsid w:val="00EA2115"/>
    <w:rsid w:val="00EA7F92"/>
    <w:rsid w:val="00EC6445"/>
    <w:rsid w:val="00EC7CD6"/>
    <w:rsid w:val="00ED59A4"/>
    <w:rsid w:val="00EE769D"/>
    <w:rsid w:val="00F00C3F"/>
    <w:rsid w:val="00F10EC0"/>
    <w:rsid w:val="00F11A6A"/>
    <w:rsid w:val="00F25CF7"/>
    <w:rsid w:val="00F357C5"/>
    <w:rsid w:val="00F4051C"/>
    <w:rsid w:val="00F42B38"/>
    <w:rsid w:val="00F506EC"/>
    <w:rsid w:val="00F55939"/>
    <w:rsid w:val="00F74E79"/>
    <w:rsid w:val="00F847D4"/>
    <w:rsid w:val="00F9302D"/>
    <w:rsid w:val="00F9538F"/>
    <w:rsid w:val="00FB1AA9"/>
    <w:rsid w:val="00FB7D59"/>
    <w:rsid w:val="00FC3491"/>
    <w:rsid w:val="00FC495A"/>
    <w:rsid w:val="00FD01F1"/>
    <w:rsid w:val="00FD5F6E"/>
    <w:rsid w:val="00FD7E76"/>
    <w:rsid w:val="00FF5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2B49F2"/>
    <w:pPr>
      <w:keepNext/>
      <w:keepLines/>
      <w:spacing w:after="0"/>
      <w:outlineLvl w:val="0"/>
    </w:pPr>
    <w:rPr>
      <w:rFonts w:eastAsia="MS Mincho"/>
      <w:color w:val="323232" w:themeColor="text1"/>
      <w:sz w:val="36"/>
      <w:szCs w:val="36"/>
    </w:rPr>
  </w:style>
  <w:style w:type="paragraph" w:styleId="Heading2">
    <w:name w:val="heading 2"/>
    <w:aliases w:val="Sub Heading"/>
    <w:basedOn w:val="Normal"/>
    <w:next w:val="Normal"/>
    <w:link w:val="Heading2Char"/>
    <w:uiPriority w:val="9"/>
    <w:unhideWhenUsed/>
    <w:qFormat/>
    <w:rsid w:val="00FB1AA9"/>
    <w:pPr>
      <w:keepNext/>
      <w:keepLines/>
      <w:numPr>
        <w:numId w:val="29"/>
      </w:numPr>
      <w:ind w:left="357" w:hanging="357"/>
      <w:outlineLvl w:val="1"/>
    </w:pPr>
    <w:rPr>
      <w:rFonts w:eastAsia="MS Mincho"/>
      <w:b/>
      <w:color w:val="F79220" w:themeColor="accent1"/>
      <w:sz w:val="28"/>
      <w:szCs w:val="32"/>
    </w:rPr>
  </w:style>
  <w:style w:type="paragraph" w:styleId="Heading3">
    <w:name w:val="heading 3"/>
    <w:basedOn w:val="Normal"/>
    <w:next w:val="Normal"/>
    <w:link w:val="Heading3Char"/>
    <w:autoRedefine/>
    <w:uiPriority w:val="9"/>
    <w:unhideWhenUsed/>
    <w:qFormat/>
    <w:rsid w:val="00115DD3"/>
    <w:pPr>
      <w:keepNext/>
      <w:keepLines/>
      <w:numPr>
        <w:ilvl w:val="1"/>
        <w:numId w:val="29"/>
      </w:numPr>
      <w:spacing w:before="200" w:after="0"/>
      <w:ind w:left="357" w:hanging="357"/>
      <w:jc w:val="left"/>
      <w:outlineLvl w:val="2"/>
    </w:pPr>
    <w:rPr>
      <w:rFonts w:eastAsia="MS Mincho" w:cs="Arial"/>
      <w:b/>
      <w:color w:val="F79220" w:themeColor="accent6"/>
      <w:szCs w:val="24"/>
    </w:rPr>
  </w:style>
  <w:style w:type="paragraph" w:styleId="Heading4">
    <w:name w:val="heading 4"/>
    <w:basedOn w:val="Normal"/>
    <w:next w:val="Normal"/>
    <w:link w:val="Heading4Char"/>
    <w:uiPriority w:val="9"/>
    <w:unhideWhenUsed/>
    <w:qFormat/>
    <w:rsid w:val="0087272A"/>
    <w:pPr>
      <w:keepNext/>
      <w:keepLines/>
      <w:spacing w:before="200" w:after="0"/>
      <w:outlineLvl w:val="3"/>
    </w:pPr>
    <w:rPr>
      <w:rFonts w:eastAsia="MS Mincho"/>
      <w:color w:val="323232" w:themeColor="text1"/>
      <w:sz w:val="22"/>
      <w:szCs w:val="22"/>
    </w:rPr>
  </w:style>
  <w:style w:type="paragraph" w:styleId="Heading5">
    <w:name w:val="heading 5"/>
    <w:aliases w:val="CTA Heading"/>
    <w:basedOn w:val="Normal"/>
    <w:next w:val="Normal"/>
    <w:link w:val="Heading5Char"/>
    <w:uiPriority w:val="9"/>
    <w:unhideWhenUsed/>
    <w:qFormat/>
    <w:rsid w:val="0087272A"/>
    <w:pPr>
      <w:keepNext/>
      <w:keepLines/>
      <w:spacing w:before="200" w:after="0"/>
      <w:outlineLvl w:val="4"/>
    </w:pPr>
    <w:rPr>
      <w:rFonts w:eastAsia="MS Mincho"/>
      <w:color w:val="E83460" w:themeColor="accent2"/>
      <w:sz w:val="22"/>
      <w:szCs w:val="22"/>
    </w:rPr>
  </w:style>
  <w:style w:type="paragraph" w:styleId="Heading6">
    <w:name w:val="heading 6"/>
    <w:aliases w:val="INFO Heading"/>
    <w:basedOn w:val="Normal"/>
    <w:next w:val="Normal"/>
    <w:link w:val="Heading6Char"/>
    <w:uiPriority w:val="9"/>
    <w:unhideWhenUsed/>
    <w:qFormat/>
    <w:rsid w:val="0087272A"/>
    <w:pPr>
      <w:keepNext/>
      <w:keepLines/>
      <w:spacing w:before="200" w:after="0"/>
      <w:outlineLvl w:val="5"/>
    </w:pPr>
    <w:rPr>
      <w:rFonts w:eastAsia="MS Mincho"/>
      <w:color w:val="0288D1" w:themeColor="accent4"/>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2B49F2"/>
    <w:rPr>
      <w:rFonts w:ascii="Arial" w:eastAsia="MS Mincho" w:hAnsi="Arial"/>
      <w:color w:val="323232" w:themeColor="text1"/>
      <w:sz w:val="36"/>
      <w:szCs w:val="36"/>
    </w:rPr>
  </w:style>
  <w:style w:type="character" w:customStyle="1" w:styleId="Heading2Char">
    <w:name w:val="Heading 2 Char"/>
    <w:aliases w:val="Sub Heading Char"/>
    <w:link w:val="Heading2"/>
    <w:uiPriority w:val="9"/>
    <w:rsid w:val="00FB1AA9"/>
    <w:rPr>
      <w:rFonts w:ascii="Arial" w:eastAsia="MS Mincho" w:hAnsi="Arial"/>
      <w:b/>
      <w:color w:val="F79220" w:themeColor="accent1"/>
      <w:sz w:val="28"/>
      <w:szCs w:val="32"/>
    </w:rPr>
  </w:style>
  <w:style w:type="character" w:customStyle="1" w:styleId="Heading3Char">
    <w:name w:val="Heading 3 Char"/>
    <w:link w:val="Heading3"/>
    <w:uiPriority w:val="9"/>
    <w:rsid w:val="00115DD3"/>
    <w:rPr>
      <w:rFonts w:ascii="Arial" w:eastAsia="MS Mincho" w:hAnsi="Arial" w:cs="Arial"/>
      <w:b/>
      <w:color w:val="F79220" w:themeColor="accent6"/>
      <w:szCs w:val="24"/>
    </w:rPr>
  </w:style>
  <w:style w:type="character" w:customStyle="1" w:styleId="Heading4Char">
    <w:name w:val="Heading 4 Char"/>
    <w:link w:val="Heading4"/>
    <w:uiPriority w:val="9"/>
    <w:rsid w:val="0087272A"/>
    <w:rPr>
      <w:rFonts w:ascii="Arial" w:eastAsia="MS Mincho" w:hAnsi="Arial"/>
      <w:color w:val="323232" w:themeColor="text1"/>
      <w:sz w:val="22"/>
      <w:szCs w:val="22"/>
    </w:rPr>
  </w:style>
  <w:style w:type="character" w:customStyle="1" w:styleId="Heading5Char">
    <w:name w:val="Heading 5 Char"/>
    <w:aliases w:val="CTA Heading Char"/>
    <w:link w:val="Heading5"/>
    <w:uiPriority w:val="9"/>
    <w:rsid w:val="0087272A"/>
    <w:rPr>
      <w:rFonts w:ascii="Arial" w:eastAsia="MS Mincho" w:hAnsi="Arial"/>
      <w:color w:val="E83460" w:themeColor="accent2"/>
      <w:sz w:val="22"/>
      <w:szCs w:val="22"/>
    </w:rPr>
  </w:style>
  <w:style w:type="character" w:customStyle="1" w:styleId="Heading6Char">
    <w:name w:val="Heading 6 Char"/>
    <w:aliases w:val="INFO Heading Char"/>
    <w:link w:val="Heading6"/>
    <w:uiPriority w:val="9"/>
    <w:rsid w:val="0087272A"/>
    <w:rPr>
      <w:rFonts w:ascii="Arial" w:eastAsia="MS Mincho" w:hAnsi="Arial"/>
      <w:color w:val="0288D1" w:themeColor="accent4"/>
      <w:sz w:val="22"/>
      <w:szCs w:val="22"/>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AC048B"/>
    <w:pPr>
      <w:ind w:right="496"/>
      <w:jc w:val="right"/>
    </w:pPr>
    <w:rPr>
      <w:rFonts w:eastAsia="MS Mincho"/>
      <w:color w:val="F79220" w:themeColor="accent1"/>
      <w:spacing w:val="10"/>
      <w:kern w:val="28"/>
      <w:sz w:val="28"/>
      <w:szCs w:val="28"/>
      <w:lang w:val="en-US" w:bidi="en-US"/>
    </w:rPr>
  </w:style>
  <w:style w:type="character" w:customStyle="1" w:styleId="TitleChar">
    <w:name w:val="Title Char"/>
    <w:aliases w:val="Main Sub Title Char"/>
    <w:link w:val="Title"/>
    <w:uiPriority w:val="10"/>
    <w:rsid w:val="00AC048B"/>
    <w:rPr>
      <w:rFonts w:ascii="Arial" w:eastAsia="MS Mincho" w:hAnsi="Arial"/>
      <w:color w:val="F79220" w:themeColor="accent1"/>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87272A"/>
    <w:pPr>
      <w:tabs>
        <w:tab w:val="clear" w:pos="4513"/>
        <w:tab w:val="clear" w:pos="6663"/>
        <w:tab w:val="clear" w:pos="9072"/>
      </w:tabs>
      <w:ind w:right="543"/>
      <w:jc w:val="left"/>
    </w:pPr>
    <w:rPr>
      <w:caps w:val="0"/>
      <w:sz w:val="40"/>
      <w:szCs w:val="40"/>
    </w:rPr>
  </w:style>
  <w:style w:type="character" w:styleId="SubtleEmphasis">
    <w:name w:val="Subtle Emphasis"/>
    <w:uiPriority w:val="19"/>
    <w:qFormat/>
    <w:rsid w:val="00AC048B"/>
    <w:rPr>
      <w:rFonts w:ascii="Arial" w:hAnsi="Arial"/>
      <w:b w:val="0"/>
      <w:bCs w:val="0"/>
      <w:i w:val="0"/>
      <w:iCs w:val="0"/>
      <w:color w:val="ADAFAF" w:themeColor="text2"/>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AC048B"/>
    <w:rPr>
      <w:rFonts w:ascii="Arial" w:hAnsi="Arial"/>
      <w:b/>
      <w:bCs/>
      <w:i/>
      <w:iCs/>
      <w:color w:val="E83460" w:themeColor="accent2"/>
      <w:sz w:val="20"/>
      <w:szCs w:val="20"/>
    </w:rPr>
  </w:style>
  <w:style w:type="character" w:styleId="Emphasis">
    <w:name w:val="Emphasis"/>
    <w:uiPriority w:val="20"/>
    <w:qFormat/>
    <w:rsid w:val="00AC048B"/>
    <w:rPr>
      <w:rFonts w:ascii="Arial" w:hAnsi="Arial"/>
      <w:b/>
      <w:bCs/>
      <w:i/>
      <w:iCs/>
      <w:color w:val="323232" w:themeColor="text1"/>
      <w:sz w:val="20"/>
      <w:szCs w:val="20"/>
    </w:rPr>
  </w:style>
  <w:style w:type="character" w:styleId="Strong">
    <w:name w:val="Strong"/>
    <w:uiPriority w:val="22"/>
    <w:qFormat/>
    <w:rsid w:val="00AC048B"/>
    <w:rPr>
      <w:rFonts w:ascii="Arial" w:hAnsi="Arial"/>
      <w:b/>
      <w:bCs/>
      <w:i w:val="0"/>
      <w:iCs w:val="0"/>
      <w:color w:val="323232" w:themeColor="text1"/>
      <w:sz w:val="20"/>
      <w:szCs w:val="20"/>
    </w:rPr>
  </w:style>
  <w:style w:type="paragraph" w:styleId="ListParagraph">
    <w:name w:val="List Paragraph"/>
    <w:basedOn w:val="Normal"/>
    <w:autoRedefine/>
    <w:uiPriority w:val="34"/>
    <w:qFormat/>
    <w:rsid w:val="004318B1"/>
    <w:pPr>
      <w:numPr>
        <w:numId w:val="36"/>
      </w:numPr>
      <w:spacing w:after="100" w:afterAutospacing="1" w:line="240" w:lineRule="auto"/>
      <w:contextualSpacing/>
    </w:pPr>
    <w:rPr>
      <w:color w:val="323232" w:themeColor="text1"/>
      <w:szCs w:val="28"/>
    </w:r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customStyle="1" w:styleId="TableParagraph">
    <w:name w:val="Table Paragraph"/>
    <w:basedOn w:val="Normal"/>
    <w:uiPriority w:val="1"/>
    <w:qFormat/>
    <w:rsid w:val="00797E34"/>
    <w:pPr>
      <w:widowControl w:val="0"/>
      <w:autoSpaceDE w:val="0"/>
      <w:autoSpaceDN w:val="0"/>
      <w:spacing w:after="0" w:line="240" w:lineRule="auto"/>
      <w:ind w:left="947" w:hanging="360"/>
      <w:jc w:val="left"/>
    </w:pPr>
    <w:rPr>
      <w:rFonts w:ascii="Verdana" w:eastAsia="Verdana" w:hAnsi="Verdana" w:cs="Verdana"/>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121CF1"/>
    <w:rsid w:val="00334432"/>
    <w:rsid w:val="003E59FD"/>
    <w:rsid w:val="005452A0"/>
    <w:rsid w:val="00557E80"/>
    <w:rsid w:val="005B2B97"/>
    <w:rsid w:val="005F0431"/>
    <w:rsid w:val="00696A96"/>
    <w:rsid w:val="006F10E0"/>
    <w:rsid w:val="006F6F61"/>
    <w:rsid w:val="00710878"/>
    <w:rsid w:val="00722F26"/>
    <w:rsid w:val="0078585B"/>
    <w:rsid w:val="007B54ED"/>
    <w:rsid w:val="007C1641"/>
    <w:rsid w:val="00813036"/>
    <w:rsid w:val="00841D31"/>
    <w:rsid w:val="008E3376"/>
    <w:rsid w:val="00911812"/>
    <w:rsid w:val="009133BD"/>
    <w:rsid w:val="00944D2B"/>
    <w:rsid w:val="009C43D0"/>
    <w:rsid w:val="00A02BF8"/>
    <w:rsid w:val="00A41E6A"/>
    <w:rsid w:val="00BA4D88"/>
    <w:rsid w:val="00BF46B4"/>
    <w:rsid w:val="00C35C4B"/>
    <w:rsid w:val="00C731DC"/>
    <w:rsid w:val="00C81B49"/>
    <w:rsid w:val="00CF172E"/>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2017-07-28T00:00:00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4649D3E611A1E45B94071E0A7A50CC4" ma:contentTypeVersion="0" ma:contentTypeDescription="Create a new document." ma:contentTypeScope="" ma:versionID="f1b02321c01a2cc4c1ef9f30dee74b89">
  <xsd:schema xmlns:xsd="http://www.w3.org/2001/XMLSchema" xmlns:xs="http://www.w3.org/2001/XMLSchema" xmlns:p="http://schemas.microsoft.com/office/2006/metadata/properties" xmlns:ns2="8ada9566-16df-408c-8db3-ec44ea18bc7e" targetNamespace="http://schemas.microsoft.com/office/2006/metadata/properties" ma:root="true" ma:fieldsID="70b2d5773c25bc16d11ddac3f510b2e6" ns2:_="">
    <xsd:import namespace="8ada9566-16df-408c-8db3-ec44ea18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9566-16df-408c-8db3-ec44ea18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root xmlns="Document Category">
  <Type name="Technical">Report</Type>
  <Type name="White"/>
  <Type name="Manual"/>
  <Type name="Report"/>
</root>
</file>

<file path=customXml/item6.xml><root xmlns="Security Type">
  <Security name="Highly Confidential">Public</Security>
  <Security name="Confidential"/>
  <Security name="Internal Use only"/>
  <Security name="Confidential"/>
</root>
</file>

<file path=customXml/item7.xml><?xml version="1.0" encoding="utf-8"?>
<p:properties xmlns:p="http://schemas.microsoft.com/office/2006/metadata/properties" xmlns:xsi="http://www.w3.org/2001/XMLSchema-instance" xmlns:pc="http://schemas.microsoft.com/office/infopath/2007/PartnerControls">
  <documentManagement>
    <_dlc_DocId xmlns="8ada9566-16df-408c-8db3-ec44ea18bc7e">HQUH5AKSS44Y-79-10307</_dlc_DocId>
    <_dlc_DocIdUrl xmlns="8ada9566-16df-408c-8db3-ec44ea18bc7e">
      <Url>http://sharepoint2013.node4.co.uk/products/_layouts/15/DocIdRedir.aspx?ID=HQUH5AKSS44Y-79-10307</Url>
      <Description>HQUH5AKSS44Y-79-10307</Description>
    </_dlc_DocIdUrl>
  </documentManagement>
</p:properties>
</file>

<file path=customXml/item8.xml><?xml version="1.0" encoding="utf-8"?>
<root>
</root>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3.xml><?xml version="1.0" encoding="utf-8"?>
<ds:datastoreItem xmlns:ds="http://schemas.openxmlformats.org/officeDocument/2006/customXml" ds:itemID="{D9E96590-C4C7-40A4-A66E-F14519B70897}">
  <ds:schemaRefs>
    <ds:schemaRef ds:uri="http://schemas.microsoft.com/sharepoint/events"/>
  </ds:schemaRefs>
</ds:datastoreItem>
</file>

<file path=customXml/itemProps4.xml><?xml version="1.0" encoding="utf-8"?>
<ds:datastoreItem xmlns:ds="http://schemas.openxmlformats.org/officeDocument/2006/customXml" ds:itemID="{6064D177-62F6-488C-A0AE-BDCFF208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9566-16df-408c-8db3-ec44ea18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7D58F3-D782-4C0F-A953-9EC005021CBF}">
  <ds:schemaRefs>
    <ds:schemaRef ds:uri="Document Category"/>
  </ds:schemaRefs>
</ds:datastoreItem>
</file>

<file path=customXml/itemProps6.xml><?xml version="1.0" encoding="utf-8"?>
<ds:datastoreItem xmlns:ds="http://schemas.openxmlformats.org/officeDocument/2006/customXml" ds:itemID="{3B0260BB-1140-42BD-B14A-DF7052E49D72}">
  <ds:schemaRefs>
    <ds:schemaRef ds:uri="Security Type"/>
  </ds:schemaRefs>
</ds:datastoreItem>
</file>

<file path=customXml/itemProps7.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8ada9566-16df-408c-8db3-ec44ea18bc7e"/>
  </ds:schemaRefs>
</ds:datastoreItem>
</file>

<file path=customXml/itemProps8.xml><?xml version="1.0" encoding="utf-8"?>
<ds:datastoreItem xmlns:ds="http://schemas.openxmlformats.org/officeDocument/2006/customXml" ds:itemID="{526B576B-DEB9-4B76-979D-257E86ABCAAB}">
  <ds:schemaRefs/>
</ds:datastoreItem>
</file>

<file path=customXml/itemProps9.xml><?xml version="1.0" encoding="utf-8"?>
<ds:datastoreItem xmlns:ds="http://schemas.openxmlformats.org/officeDocument/2006/customXml" ds:itemID="{D28F841A-41F6-439D-9EA2-9BDC428D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Node4 Public Environmental Policy Statement</vt:lpstr>
    </vt:vector>
  </TitlesOfParts>
  <Company>Node4 Limited</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SIPLink (Node4’s SIP Trunk Service)</dc:subject>
  <dc:creator>Dominic Kerr-Delworth</dc:creator>
  <cp:keywords/>
  <dc:description/>
  <cp:lastModifiedBy>Andy Cresswell</cp:lastModifiedBy>
  <cp:revision>102</cp:revision>
  <cp:lastPrinted>2018-09-11T11:23:00Z</cp:lastPrinted>
  <dcterms:created xsi:type="dcterms:W3CDTF">2018-09-11T07:55:00Z</dcterms:created>
  <dcterms:modified xsi:type="dcterms:W3CDTF">2018-11-08T15:24:00Z</dcterms:modified>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0x010100F4649D3E611A1E45B94071E0A7A50CC4</vt:lpwstr>
  </property>
</Properties>
</file>