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6192"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59264"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62D39DF4" w:rsidR="00462B63" w:rsidRDefault="00BA014F"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795C9A8A" w:rsidR="00462B63" w:rsidRPr="00485800" w:rsidRDefault="00D2410D" w:rsidP="00D15A65">
                                <w:pPr>
                                  <w:pStyle w:val="Heading2"/>
                                  <w:numPr>
                                    <w:ilvl w:val="0"/>
                                    <w:numId w:val="0"/>
                                  </w:numPr>
                                  <w:ind w:left="357" w:right="496"/>
                                  <w:jc w:val="right"/>
                                </w:pPr>
                                <w:r>
                                  <w:rPr>
                                    <w:caps/>
                                  </w:rPr>
                                  <w:t>Collaboration</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661FAA2B" w:rsidR="00462B63" w:rsidRPr="00F00C3F" w:rsidRDefault="00D2410D" w:rsidP="00A04071">
                                <w:pPr>
                                  <w:ind w:right="496"/>
                                  <w:jc w:val="right"/>
                                  <w:rPr>
                                    <w:rStyle w:val="Emphasis"/>
                                    <w:rFonts w:cs="Arial"/>
                                    <w:b w:val="0"/>
                                    <w:color w:val="323232" w:themeColor="text1"/>
                                  </w:rPr>
                                </w:pPr>
                                <w:r>
                                  <w:rPr>
                                    <w:rStyle w:val="Emphasis"/>
                                    <w:rFonts w:cs="Arial"/>
                                    <w:b w:val="0"/>
                                    <w:color w:val="323232" w:themeColor="text1"/>
                                  </w:rPr>
                                  <w:t>28/07</w:t>
                                </w:r>
                                <w:r w:rsidR="00462B63" w:rsidRPr="00F00C3F">
                                  <w:rPr>
                                    <w:rStyle w:val="Emphasis"/>
                                    <w:rFonts w:cs="Arial"/>
                                    <w:b w:val="0"/>
                                    <w:color w:val="323232" w:themeColor="text1"/>
                                  </w:rPr>
                                  <w:t>/201</w:t>
                                </w:r>
                                <w:r w:rsidR="002C088B">
                                  <w:rPr>
                                    <w:rStyle w:val="Emphasis"/>
                                    <w:rFonts w:cs="Arial"/>
                                    <w:b w:val="0"/>
                                    <w:color w:val="323232" w:themeColor="text1"/>
                                  </w:rPr>
                                  <w:t>7</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2D39DF4" w:rsidR="00462B63" w:rsidRDefault="00BA014F"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795C9A8A" w:rsidR="00462B63" w:rsidRPr="00485800" w:rsidRDefault="00D2410D" w:rsidP="00D15A65">
                          <w:pPr>
                            <w:pStyle w:val="Heading2"/>
                            <w:numPr>
                              <w:ilvl w:val="0"/>
                              <w:numId w:val="0"/>
                            </w:numPr>
                            <w:ind w:left="357" w:right="496"/>
                            <w:jc w:val="right"/>
                          </w:pPr>
                          <w:r>
                            <w:rPr>
                              <w:caps/>
                            </w:rPr>
                            <w:t>Collaboration</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661FAA2B" w:rsidR="00462B63" w:rsidRPr="00F00C3F" w:rsidRDefault="00D2410D" w:rsidP="00A04071">
                          <w:pPr>
                            <w:ind w:right="496"/>
                            <w:jc w:val="right"/>
                            <w:rPr>
                              <w:rStyle w:val="Emphasis"/>
                              <w:rFonts w:cs="Arial"/>
                              <w:b w:val="0"/>
                              <w:color w:val="323232" w:themeColor="text1"/>
                            </w:rPr>
                          </w:pPr>
                          <w:r>
                            <w:rPr>
                              <w:rStyle w:val="Emphasis"/>
                              <w:rFonts w:cs="Arial"/>
                              <w:b w:val="0"/>
                              <w:color w:val="323232" w:themeColor="text1"/>
                            </w:rPr>
                            <w:t>28/07</w:t>
                          </w:r>
                          <w:r w:rsidR="00462B63" w:rsidRPr="00F00C3F">
                            <w:rPr>
                              <w:rStyle w:val="Emphasis"/>
                              <w:rFonts w:cs="Arial"/>
                              <w:b w:val="0"/>
                              <w:color w:val="323232" w:themeColor="text1"/>
                            </w:rPr>
                            <w:t>/201</w:t>
                          </w:r>
                          <w:r w:rsidR="002C088B">
                            <w:rPr>
                              <w:rStyle w:val="Emphasis"/>
                              <w:rFonts w:cs="Arial"/>
                              <w:b w:val="0"/>
                              <w:color w:val="323232" w:themeColor="text1"/>
                            </w:rPr>
                            <w:t>7</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663C8EFF" w:rsidR="00600920" w:rsidRPr="00BC665D" w:rsidRDefault="002C088B" w:rsidP="00600920">
      <w:pPr>
        <w:pStyle w:val="Heading1"/>
        <w:rPr>
          <w:rFonts w:cs="Arial"/>
        </w:rPr>
      </w:pPr>
      <w:r>
        <w:rPr>
          <w:rFonts w:cs="Arial"/>
          <w:caps w:val="0"/>
        </w:rPr>
        <w:lastRenderedPageBreak/>
        <w:t xml:space="preserve">Schedule document </w:t>
      </w:r>
    </w:p>
    <w:p w14:paraId="30CD018C" w14:textId="7CE8F238" w:rsidR="00245ED4" w:rsidRPr="00BA014F" w:rsidRDefault="002C088B" w:rsidP="00D15A65">
      <w:pPr>
        <w:pStyle w:val="Heading2"/>
        <w:numPr>
          <w:ilvl w:val="0"/>
          <w:numId w:val="0"/>
        </w:numPr>
        <w:ind w:left="357" w:hanging="357"/>
        <w:rPr>
          <w:rFonts w:cs="Arial"/>
          <w:color w:val="F79220" w:themeColor="accent1"/>
        </w:rPr>
      </w:pPr>
      <w:r w:rsidRPr="00BA014F">
        <w:rPr>
          <w:rFonts w:cs="Arial"/>
          <w:caps/>
          <w:color w:val="F79220" w:themeColor="accent1"/>
        </w:rPr>
        <w:t>Collaboration</w:t>
      </w:r>
    </w:p>
    <w:p w14:paraId="5421A17C" w14:textId="77777777" w:rsidR="002C088B" w:rsidRPr="00022FB5" w:rsidRDefault="002C088B" w:rsidP="002C088B">
      <w:r>
        <w:t>This Schedule contains additional terms, service description and Service Level Agreement applicable to the Hosted Telephony Services and should be viewed with associated Order Form, Node4’s General Terms and Conditions and the Acceptable Use Policy.</w:t>
      </w:r>
    </w:p>
    <w:p w14:paraId="293CFE78" w14:textId="25607859" w:rsidR="002C088B" w:rsidRPr="00022FB5" w:rsidRDefault="002C088B" w:rsidP="002C088B">
      <w:pPr>
        <w:pStyle w:val="Heading2"/>
        <w:numPr>
          <w:ilvl w:val="0"/>
          <w:numId w:val="32"/>
        </w:numPr>
        <w:ind w:left="357" w:hanging="357"/>
      </w:pPr>
      <w:r>
        <w:t>O</w:t>
      </w:r>
      <w:r w:rsidR="00BA014F">
        <w:t>verview</w:t>
      </w:r>
    </w:p>
    <w:p w14:paraId="23FB1511" w14:textId="77777777" w:rsidR="002C088B" w:rsidRPr="00EF2473" w:rsidRDefault="002C088B" w:rsidP="002C088B">
      <w:r w:rsidRPr="00EF2473">
        <w:t xml:space="preserve">The Node4 </w:t>
      </w:r>
      <w:r>
        <w:t>Collaboration</w:t>
      </w:r>
      <w:r w:rsidRPr="00EF2473">
        <w:t xml:space="preserve"> Service provides the Customer with </w:t>
      </w:r>
      <w:r>
        <w:t>a dedicated unified communications platform located within the Node4 Data Centre.</w:t>
      </w:r>
    </w:p>
    <w:p w14:paraId="7263EDFC" w14:textId="5C62EDB6" w:rsidR="002C088B" w:rsidRPr="00EF2473" w:rsidRDefault="002C088B" w:rsidP="002C088B">
      <w:pPr>
        <w:pStyle w:val="Heading2"/>
        <w:numPr>
          <w:ilvl w:val="0"/>
          <w:numId w:val="32"/>
        </w:numPr>
        <w:ind w:left="357" w:hanging="357"/>
      </w:pPr>
      <w:r w:rsidRPr="00C60248">
        <w:t>D</w:t>
      </w:r>
      <w:r w:rsidR="00BA014F">
        <w:t xml:space="preserve">efinitions </w:t>
      </w:r>
    </w:p>
    <w:p w14:paraId="7EADE151" w14:textId="77777777" w:rsidR="002C088B" w:rsidRDefault="002C088B" w:rsidP="002C088B">
      <w:r w:rsidRPr="00272079">
        <w:t>In addition to the definitions set out in the General Terms and Conditions, the following definitions shall apply to this Service Schedule:</w:t>
      </w:r>
    </w:p>
    <w:p w14:paraId="6FA9DB88" w14:textId="77777777" w:rsidR="002C088B" w:rsidRPr="00E4044F" w:rsidRDefault="002C088B" w:rsidP="002C088B">
      <w:pPr>
        <w:rPr>
          <w:b/>
        </w:rPr>
      </w:pPr>
      <w:r w:rsidRPr="00E4044F">
        <w:rPr>
          <w:b/>
        </w:rPr>
        <w:t>“Collaboration</w:t>
      </w:r>
      <w:r w:rsidRPr="00E4044F">
        <w:rPr>
          <w:rFonts w:cs="Helvetica-Narrow"/>
          <w:b/>
        </w:rPr>
        <w:t xml:space="preserve"> Platform”</w:t>
      </w:r>
      <w:r>
        <w:rPr>
          <w:rFonts w:cs="Helvetica-Narrow"/>
          <w:b/>
        </w:rPr>
        <w:t xml:space="preserve"> </w:t>
      </w:r>
      <w:r w:rsidRPr="00E4044F">
        <w:rPr>
          <w:rFonts w:cs="Helvetica-Narrow"/>
        </w:rPr>
        <w:t>means</w:t>
      </w:r>
      <w:r>
        <w:rPr>
          <w:rFonts w:cs="Helvetica-Narrow"/>
        </w:rPr>
        <w:t xml:space="preserve"> the core infrastructure used to provide the services</w:t>
      </w:r>
    </w:p>
    <w:p w14:paraId="6257DB07" w14:textId="77777777" w:rsidR="002C088B" w:rsidRDefault="002C088B" w:rsidP="002C088B">
      <w:r w:rsidRPr="00094126">
        <w:rPr>
          <w:rStyle w:val="Emphasis"/>
        </w:rPr>
        <w:t>“Customer Responsible Faults”</w:t>
      </w:r>
      <w:r w:rsidRPr="00593D09">
        <w:t xml:space="preserve"> means in the event that a Service Affecting or Non-Service Affecting Fault is identified as being attributable to Customer </w:t>
      </w:r>
      <w:r>
        <w:t>p</w:t>
      </w:r>
      <w:r w:rsidRPr="00593D09">
        <w:t xml:space="preserve">rovided </w:t>
      </w:r>
      <w:r>
        <w:t>e</w:t>
      </w:r>
      <w:r w:rsidRPr="00593D09">
        <w:t xml:space="preserve">quipment, </w:t>
      </w:r>
      <w:r>
        <w:t>p</w:t>
      </w:r>
      <w:r w:rsidRPr="00593D09">
        <w:t>remises, Customer power supplies, or the action of the Customer, employees or agents of the Customer, the fault shall be deemed the responsibility of the Customer. Any downtime shall not be included in service availability measurements and does not qualify for compensation.</w:t>
      </w:r>
    </w:p>
    <w:p w14:paraId="5F7A87AA" w14:textId="77777777" w:rsidR="002C088B" w:rsidRPr="00E4044F" w:rsidRDefault="002C088B" w:rsidP="002C088B">
      <w:pPr>
        <w:rPr>
          <w:rFonts w:cs="Helvetica-Narrow-Bold"/>
          <w:bCs/>
        </w:rPr>
      </w:pPr>
      <w:r w:rsidRPr="00C60248">
        <w:rPr>
          <w:b/>
        </w:rPr>
        <w:t>“</w:t>
      </w:r>
      <w:r>
        <w:rPr>
          <w:b/>
        </w:rPr>
        <w:t>Endpoint</w:t>
      </w:r>
      <w:r w:rsidRPr="00C60248">
        <w:rPr>
          <w:b/>
        </w:rPr>
        <w:t>”</w:t>
      </w:r>
      <w:r>
        <w:rPr>
          <w:b/>
        </w:rPr>
        <w:t xml:space="preserve"> </w:t>
      </w:r>
      <w:r w:rsidRPr="00EF2473">
        <w:rPr>
          <w:rFonts w:cs="Helvetica-Narrow-Bold"/>
          <w:bCs/>
        </w:rPr>
        <w:t>means</w:t>
      </w:r>
      <w:r>
        <w:rPr>
          <w:rFonts w:cs="Helvetica-Narrow-Bold"/>
          <w:bCs/>
        </w:rPr>
        <w:t xml:space="preserve"> a Customer device which is identified as either a unique IP address or a Node4 provided username and password;</w:t>
      </w:r>
    </w:p>
    <w:p w14:paraId="7AB362B7" w14:textId="77777777" w:rsidR="002C088B" w:rsidRPr="00B33AE2" w:rsidRDefault="002C088B" w:rsidP="002C088B">
      <w:r w:rsidRPr="00094126">
        <w:rPr>
          <w:rStyle w:val="Emphasis"/>
        </w:rPr>
        <w:t>“Fault Ticket Number”</w:t>
      </w:r>
      <w:r w:rsidRPr="00593D09">
        <w:t xml:space="preserve"> means the unique number issued when logging a fault with Node4.</w:t>
      </w:r>
    </w:p>
    <w:p w14:paraId="4EDEFE24" w14:textId="77777777" w:rsidR="002C088B" w:rsidRPr="00EF2473" w:rsidRDefault="002C088B" w:rsidP="002C088B">
      <w:r w:rsidRPr="00094126">
        <w:rPr>
          <w:rStyle w:val="Emphasis"/>
        </w:rPr>
        <w:t xml:space="preserve">“Installation </w:t>
      </w:r>
      <w:r>
        <w:rPr>
          <w:rStyle w:val="Emphasis"/>
        </w:rPr>
        <w:t>Fee</w:t>
      </w:r>
      <w:r w:rsidRPr="00094126">
        <w:rPr>
          <w:rStyle w:val="Emphasis"/>
        </w:rPr>
        <w:t>”</w:t>
      </w:r>
      <w:r w:rsidRPr="00EF2473">
        <w:t xml:space="preserve"> means charges payable by the Customer for the </w:t>
      </w:r>
      <w:r w:rsidRPr="00E83576">
        <w:t>installation of Collaboration Services</w:t>
      </w:r>
      <w:r w:rsidRPr="00EF2473">
        <w:t xml:space="preserve"> as provided in the </w:t>
      </w:r>
      <w:r>
        <w:t>Order Form</w:t>
      </w:r>
      <w:r w:rsidRPr="00EF2473">
        <w:t>;</w:t>
      </w:r>
    </w:p>
    <w:p w14:paraId="5BC88810" w14:textId="77777777" w:rsidR="002C088B" w:rsidRPr="00EF2473" w:rsidRDefault="002C088B" w:rsidP="002C088B">
      <w:r w:rsidRPr="00094126">
        <w:rPr>
          <w:rStyle w:val="Emphasis"/>
        </w:rPr>
        <w:t>“Monthly Review Period”</w:t>
      </w:r>
      <w:r w:rsidRPr="00EF2473">
        <w:t xml:space="preserve"> means the calendar monthly periods commencing on the 1st of each month during the Term, over which Service performance measurements are calculated, </w:t>
      </w:r>
      <w:r w:rsidRPr="00EF2473">
        <w:t xml:space="preserve">provided that the first Monthly Review Period will commence </w:t>
      </w:r>
      <w:r>
        <w:t>following the Ready For Service Notification</w:t>
      </w:r>
      <w:r w:rsidRPr="00EF2473">
        <w:t>;</w:t>
      </w:r>
    </w:p>
    <w:p w14:paraId="3718B79D" w14:textId="77777777" w:rsidR="002C088B" w:rsidRPr="00EF2473" w:rsidRDefault="002C088B" w:rsidP="002C088B">
      <w:r w:rsidRPr="00094126">
        <w:rPr>
          <w:rStyle w:val="Emphasis"/>
        </w:rPr>
        <w:t xml:space="preserve">“Network Management System” </w:t>
      </w:r>
      <w:r w:rsidRPr="00EF2473">
        <w:t>means Node4’s network integrated fault management system;</w:t>
      </w:r>
    </w:p>
    <w:p w14:paraId="4A48C7CB" w14:textId="77777777" w:rsidR="002C088B" w:rsidRPr="00EF2473" w:rsidRDefault="002C088B" w:rsidP="002C088B">
      <w:r w:rsidRPr="00094126">
        <w:rPr>
          <w:rStyle w:val="Emphasis"/>
        </w:rPr>
        <w:t>“Node4 Network”</w:t>
      </w:r>
      <w:r w:rsidRPr="00EF2473">
        <w:t xml:space="preserve"> means the network wholly owned and managed by Node4;</w:t>
      </w:r>
    </w:p>
    <w:p w14:paraId="652594B4" w14:textId="77777777" w:rsidR="002C088B" w:rsidRPr="00593D09" w:rsidRDefault="002C088B" w:rsidP="002C088B">
      <w:r w:rsidRPr="00094126">
        <w:rPr>
          <w:rStyle w:val="Emphasis"/>
        </w:rPr>
        <w:t>“Non-Service Affecting Fault”</w:t>
      </w:r>
      <w:r w:rsidRPr="00593D09">
        <w:t xml:space="preserve"> means a fault or condition which is not a Service Affecting Fault.</w:t>
      </w:r>
    </w:p>
    <w:p w14:paraId="6DC6B50C" w14:textId="77777777" w:rsidR="002C088B" w:rsidRPr="007C510B" w:rsidRDefault="002C088B" w:rsidP="002C088B">
      <w:r w:rsidRPr="00094126">
        <w:rPr>
          <w:rStyle w:val="Emphasis"/>
        </w:rPr>
        <w:t>“Planned Outage”</w:t>
      </w:r>
      <w:r w:rsidRPr="007C510B">
        <w:t xml:space="preserve"> means in maintaining the service provided, Node4 may with reasonable notice require a temporary outage in service. Wherever possible Node4 will agree the outage with you in advance of the required work. Any planned downtime shall not be included in fault or service reliability measurements.</w:t>
      </w:r>
    </w:p>
    <w:p w14:paraId="7B1C90A1" w14:textId="77777777" w:rsidR="002C088B" w:rsidRPr="007C510B" w:rsidRDefault="002C088B" w:rsidP="002C088B">
      <w:r w:rsidRPr="00094126">
        <w:rPr>
          <w:rStyle w:val="Emphasis"/>
        </w:rPr>
        <w:t xml:space="preserve">“Professional Service </w:t>
      </w:r>
      <w:r>
        <w:rPr>
          <w:rStyle w:val="Emphasis"/>
        </w:rPr>
        <w:t>Fees</w:t>
      </w:r>
      <w:r w:rsidRPr="00094126">
        <w:rPr>
          <w:rStyle w:val="Emphasis"/>
        </w:rPr>
        <w:t>”</w:t>
      </w:r>
      <w:r w:rsidRPr="007C510B">
        <w:t xml:space="preserve"> means the professional service charges detailed on the Order Form or otherwise agreed in writing between the Parties in accordance with Clause 4 below;</w:t>
      </w:r>
    </w:p>
    <w:p w14:paraId="11E579AF" w14:textId="77777777" w:rsidR="002C088B" w:rsidRPr="007C510B" w:rsidRDefault="002C088B" w:rsidP="002C088B">
      <w:r w:rsidRPr="00094126">
        <w:rPr>
          <w:rStyle w:val="Emphasis"/>
        </w:rPr>
        <w:t>“SBC”</w:t>
      </w:r>
      <w:r w:rsidRPr="007C510B">
        <w:t xml:space="preserve"> means Session Border Controller</w:t>
      </w:r>
    </w:p>
    <w:p w14:paraId="2B79F888" w14:textId="77777777" w:rsidR="002C088B" w:rsidRPr="007C510B" w:rsidRDefault="002C088B" w:rsidP="002C088B">
      <w:r w:rsidRPr="00094126">
        <w:rPr>
          <w:rStyle w:val="Emphasis"/>
        </w:rPr>
        <w:t>“Service Affecting Fault (SAF)”</w:t>
      </w:r>
      <w:r w:rsidRPr="007C510B">
        <w:t xml:space="preserve"> means any failure of Node4 Network, </w:t>
      </w:r>
      <w:r>
        <w:t>Node4 E</w:t>
      </w:r>
      <w:r w:rsidRPr="007C510B">
        <w:t xml:space="preserve">quipment or service, which, in our reasonable opinion causes a loss of a customer’s service. In all such cases the service shall be deemed unavailable and the length of downtime recorded by Node4 from when the fault is registered by Node4 and a </w:t>
      </w:r>
      <w:r>
        <w:t>F</w:t>
      </w:r>
      <w:r w:rsidRPr="007C510B">
        <w:t xml:space="preserve">ault </w:t>
      </w:r>
      <w:r>
        <w:t>T</w:t>
      </w:r>
      <w:r w:rsidRPr="007C510B">
        <w:t xml:space="preserve">icket </w:t>
      </w:r>
      <w:r>
        <w:t>N</w:t>
      </w:r>
      <w:r w:rsidRPr="007C510B">
        <w:t>umber allocated.</w:t>
      </w:r>
    </w:p>
    <w:p w14:paraId="0140379A" w14:textId="77777777" w:rsidR="002C088B" w:rsidRPr="007C510B" w:rsidRDefault="002C088B" w:rsidP="002C088B">
      <w:r w:rsidRPr="00094126">
        <w:rPr>
          <w:rStyle w:val="Emphasis"/>
        </w:rPr>
        <w:t>“Service Availability”</w:t>
      </w:r>
      <w:r w:rsidRPr="007C510B">
        <w:t xml:space="preserve"> means the time for which a Node4 service is usable, expressed as a percentage of the total time in a given </w:t>
      </w:r>
      <w:r w:rsidRPr="00E42206">
        <w:rPr>
          <w:rStyle w:val="Emphasis"/>
        </w:rPr>
        <w:t>Monthly Review Period</w:t>
      </w:r>
      <w:r w:rsidRPr="007C510B">
        <w:t>. The Node4 service shall be deemed available for the purposes of calculating Service Availability if it is not usable due to an event outside our reasonable control, a Customer Responsible Fault, a Third Party Attributable Fault or is due to a Planned Outage.</w:t>
      </w:r>
    </w:p>
    <w:p w14:paraId="17A1B948" w14:textId="77777777" w:rsidR="002C088B" w:rsidRPr="007C510B" w:rsidRDefault="002C088B" w:rsidP="002C088B">
      <w:r w:rsidRPr="00094126">
        <w:rPr>
          <w:rStyle w:val="Emphasis"/>
        </w:rPr>
        <w:t>“Technical Support Centre”</w:t>
      </w:r>
      <w:r w:rsidRPr="007C510B">
        <w:t xml:space="preserve"> means Node4’s fault management centre, which operates the Node4 Network Management System;</w:t>
      </w:r>
    </w:p>
    <w:p w14:paraId="51F74940" w14:textId="77777777" w:rsidR="002C088B" w:rsidRPr="007C510B" w:rsidRDefault="002C088B" w:rsidP="002C088B">
      <w:r w:rsidRPr="00094126">
        <w:rPr>
          <w:rStyle w:val="Emphasis"/>
        </w:rPr>
        <w:t>“Third Party Attributable Faults”</w:t>
      </w:r>
      <w:r w:rsidRPr="007C510B">
        <w:t xml:space="preserve"> means in the event that a Service Affecting or Non-Service Affecting Fault is identified as being attributable to a</w:t>
      </w:r>
      <w:r>
        <w:t xml:space="preserve"> </w:t>
      </w:r>
      <w:r w:rsidRPr="007C510B">
        <w:lastRenderedPageBreak/>
        <w:t>third party this measurement period shall not be included in service availability measurements. Such faults do not qualify for rebates or compensation. Node4 will endeavour to resolve and rectify such Third Party Attributable Faults as soon as possible.</w:t>
      </w:r>
    </w:p>
    <w:p w14:paraId="16C1EE26" w14:textId="77777777" w:rsidR="002C088B" w:rsidRPr="00964722" w:rsidRDefault="002C088B" w:rsidP="002C088B">
      <w:r w:rsidRPr="00094126">
        <w:rPr>
          <w:rStyle w:val="Emphasis"/>
        </w:rPr>
        <w:t>“Time To Resolve Fault (TTRF)”</w:t>
      </w:r>
      <w:r w:rsidRPr="007C510B">
        <w:t xml:space="preserve"> means the length of time from the issue of the </w:t>
      </w:r>
      <w:r>
        <w:t>F</w:t>
      </w:r>
      <w:r w:rsidRPr="007C510B">
        <w:t xml:space="preserve">ault </w:t>
      </w:r>
      <w:r>
        <w:t>T</w:t>
      </w:r>
      <w:r w:rsidRPr="007C510B">
        <w:t xml:space="preserve">icket </w:t>
      </w:r>
      <w:r>
        <w:t>N</w:t>
      </w:r>
      <w:r w:rsidRPr="007C510B">
        <w:t xml:space="preserve">umber to repair and resolution or the service circuit and/or associated </w:t>
      </w:r>
      <w:r>
        <w:t>Node4 E</w:t>
      </w:r>
      <w:r w:rsidRPr="007C510B">
        <w:t>quipment.</w:t>
      </w:r>
    </w:p>
    <w:p w14:paraId="28D9EFBD" w14:textId="403CEF27" w:rsidR="002C088B" w:rsidRPr="00C60248" w:rsidRDefault="00BA014F" w:rsidP="002C088B">
      <w:pPr>
        <w:pStyle w:val="Heading2"/>
        <w:numPr>
          <w:ilvl w:val="0"/>
          <w:numId w:val="32"/>
        </w:numPr>
        <w:ind w:left="357" w:hanging="357"/>
      </w:pPr>
      <w:r>
        <w:t xml:space="preserve">Specific terms </w:t>
      </w:r>
    </w:p>
    <w:p w14:paraId="4BCEE786" w14:textId="77777777" w:rsidR="002C088B" w:rsidRDefault="002C088B" w:rsidP="002C088B">
      <w:r w:rsidRPr="00EF2473">
        <w:t xml:space="preserve">The following terms and conditions shall apply when Node4 provides </w:t>
      </w:r>
      <w:r>
        <w:t>Collaboration</w:t>
      </w:r>
      <w:r w:rsidRPr="00EF2473">
        <w:t xml:space="preserve"> Services to the Customer.</w:t>
      </w:r>
    </w:p>
    <w:p w14:paraId="5B94CC8E" w14:textId="266B1C39" w:rsidR="002C088B" w:rsidRPr="00BA014F" w:rsidRDefault="002C088B" w:rsidP="00BA014F">
      <w:pPr>
        <w:pStyle w:val="Heading3"/>
      </w:pPr>
      <w:r w:rsidRPr="00BA014F">
        <w:t>T</w:t>
      </w:r>
      <w:r w:rsidR="00BA014F" w:rsidRPr="00BA014F">
        <w:t xml:space="preserve">hird </w:t>
      </w:r>
      <w:r w:rsidR="00BA014F">
        <w:t xml:space="preserve">parties </w:t>
      </w:r>
    </w:p>
    <w:p w14:paraId="76784B5C" w14:textId="77777777" w:rsidR="002C088B" w:rsidRDefault="002C088B" w:rsidP="002C088B">
      <w:r w:rsidRPr="00EF2473">
        <w:t>Node4 shall not be liable in respect of any contract, agreement or relationship that Customer may have with any third party. If a dispute arises between Customer and a third party involving Node4</w:t>
      </w:r>
      <w:r>
        <w:t>’s Collaboration service</w:t>
      </w:r>
      <w:r w:rsidRPr="00EF2473">
        <w:t>, Node4 shall provide the Customer with reasonable information and assistance (to the extent that such is not adverse to Node4’s interests to Customer (at Customer’s expense) in</w:t>
      </w:r>
      <w:r>
        <w:t xml:space="preserve"> the resolution of such dispute).</w:t>
      </w:r>
    </w:p>
    <w:p w14:paraId="7FEFF836" w14:textId="77777777" w:rsidR="002C088B" w:rsidRDefault="002C088B" w:rsidP="002C088B">
      <w:pPr>
        <w:rPr>
          <w:bCs/>
        </w:rPr>
      </w:pPr>
      <w:r w:rsidRPr="005730E0">
        <w:t xml:space="preserve">For the avoidance of doubt all charges and sums due to the </w:t>
      </w:r>
      <w:r>
        <w:t>Customer</w:t>
      </w:r>
      <w:r w:rsidRPr="005730E0">
        <w:t xml:space="preserve"> shall be paid in full by the </w:t>
      </w:r>
      <w:r>
        <w:t>Customer</w:t>
      </w:r>
      <w:r w:rsidRPr="005730E0">
        <w:t xml:space="preserve"> by the due date notwithstanding that the </w:t>
      </w:r>
      <w:r>
        <w:t>Customer</w:t>
      </w:r>
      <w:r w:rsidRPr="005730E0">
        <w:t xml:space="preserve"> may not have received payments from </w:t>
      </w:r>
      <w:r>
        <w:t>its End-User where the services are being resold. A</w:t>
      </w:r>
      <w:r w:rsidRPr="005730E0">
        <w:t xml:space="preserve">ny dispute </w:t>
      </w:r>
      <w:r w:rsidRPr="004B6571">
        <w:t>between the Customer and its End-users is the sole responsibility of the Customer. Any fraud or other improper use of the service</w:t>
      </w:r>
      <w:r w:rsidRPr="005730E0">
        <w:rPr>
          <w:bCs/>
        </w:rPr>
        <w:t xml:space="preserve"> shall not relieve the </w:t>
      </w:r>
      <w:r>
        <w:rPr>
          <w:bCs/>
        </w:rPr>
        <w:t>Customer</w:t>
      </w:r>
      <w:r w:rsidRPr="005730E0">
        <w:rPr>
          <w:bCs/>
        </w:rPr>
        <w:t xml:space="preserve"> of its payment obligation to </w:t>
      </w:r>
      <w:r>
        <w:rPr>
          <w:bCs/>
        </w:rPr>
        <w:t>Node4.</w:t>
      </w:r>
    </w:p>
    <w:p w14:paraId="3412301F" w14:textId="03510922" w:rsidR="002C088B" w:rsidRDefault="00BA014F" w:rsidP="00BA014F">
      <w:pPr>
        <w:pStyle w:val="Heading3"/>
        <w:rPr>
          <w:bCs/>
        </w:rPr>
      </w:pPr>
      <w:r>
        <w:t>Credit l</w:t>
      </w:r>
      <w:r w:rsidR="002C088B">
        <w:t>imit</w:t>
      </w:r>
    </w:p>
    <w:p w14:paraId="38CCDC85" w14:textId="77777777" w:rsidR="002C088B" w:rsidRDefault="002C088B" w:rsidP="002C088B">
      <w:r>
        <w:t>All customers will be set a credit limit for call spend. An automated email may be sent from the billing system when 80% of the credit limit is reached. If this call spend limit is exceeded, then the service may be automatically suspended. If the Customer believes this credit limit will be exceeded, then it is important that contact is made with the Node4 Accounts Department to ensure continuation of service.</w:t>
      </w:r>
    </w:p>
    <w:p w14:paraId="2634AA31" w14:textId="77777777" w:rsidR="002C088B" w:rsidRPr="001E52B9" w:rsidRDefault="002C088B" w:rsidP="002C088B">
      <w:r>
        <w:t>It should be noted that call charges in excess of the credit limit are still payable by the Customer.</w:t>
      </w:r>
    </w:p>
    <w:p w14:paraId="4D71E567" w14:textId="2D6468C6" w:rsidR="002C088B" w:rsidRDefault="002C088B" w:rsidP="002C088B">
      <w:pPr>
        <w:pStyle w:val="Heading2"/>
        <w:numPr>
          <w:ilvl w:val="0"/>
          <w:numId w:val="32"/>
        </w:numPr>
        <w:ind w:left="357" w:hanging="357"/>
      </w:pPr>
      <w:r>
        <w:t>F</w:t>
      </w:r>
      <w:r w:rsidR="00BA014F">
        <w:t xml:space="preserve">ees </w:t>
      </w:r>
    </w:p>
    <w:p w14:paraId="257A84D3" w14:textId="77777777" w:rsidR="002C088B" w:rsidRDefault="002C088B" w:rsidP="002C088B">
      <w:r>
        <w:rPr>
          <w:rFonts w:cs="Arial"/>
        </w:rPr>
        <w:t xml:space="preserve">Fees will commence when Ready For Service Notification is provided by Node4, this will follow either handover of the service or notification from Node4 that the Service is available for Customer use. </w:t>
      </w:r>
      <w:r w:rsidRPr="00E4044F">
        <w:t>Fees may comprise of any or all of the following</w:t>
      </w:r>
      <w:r>
        <w:t xml:space="preserve"> aspects.</w:t>
      </w:r>
    </w:p>
    <w:p w14:paraId="68465569" w14:textId="45FD58A1" w:rsidR="002C088B" w:rsidRPr="00E4044F" w:rsidRDefault="002C088B" w:rsidP="00BA014F">
      <w:pPr>
        <w:pStyle w:val="Heading3"/>
      </w:pPr>
      <w:r w:rsidRPr="00E4044F">
        <w:t xml:space="preserve"> Installation </w:t>
      </w:r>
      <w:r w:rsidR="00BA014F">
        <w:t>f</w:t>
      </w:r>
      <w:r w:rsidRPr="00E4044F">
        <w:t>ees</w:t>
      </w:r>
    </w:p>
    <w:p w14:paraId="6D479746" w14:textId="77777777" w:rsidR="002C088B" w:rsidRPr="00022FB5" w:rsidRDefault="002C088B" w:rsidP="002C088B">
      <w:r w:rsidRPr="00EF2473">
        <w:t xml:space="preserve">Any applicable Installation Charges for the implementation of the </w:t>
      </w:r>
      <w:r>
        <w:t>Collaboration service</w:t>
      </w:r>
      <w:r w:rsidRPr="00EF2473">
        <w:t xml:space="preserve"> shall be detailed </w:t>
      </w:r>
      <w:r>
        <w:t>on the Order Form.</w:t>
      </w:r>
    </w:p>
    <w:p w14:paraId="6E835B7A" w14:textId="02EFEFB9" w:rsidR="002C088B" w:rsidRPr="00022FB5" w:rsidRDefault="002C088B" w:rsidP="00BA014F">
      <w:pPr>
        <w:pStyle w:val="Heading3"/>
        <w:rPr>
          <w:bCs/>
        </w:rPr>
      </w:pPr>
      <w:r w:rsidRPr="00022FB5">
        <w:t xml:space="preserve">Rental </w:t>
      </w:r>
      <w:r w:rsidR="00BA014F">
        <w:t>f</w:t>
      </w:r>
      <w:r>
        <w:t>ees</w:t>
      </w:r>
    </w:p>
    <w:p w14:paraId="40594BAF" w14:textId="77777777" w:rsidR="002C088B" w:rsidRDefault="002C088B" w:rsidP="002C088B">
      <w:r>
        <w:t xml:space="preserve">Rental charges are paid either monthly or annually in advance based on the service provided and any other related service and are identified on the Order Form.  </w:t>
      </w:r>
    </w:p>
    <w:p w14:paraId="3CB955DC" w14:textId="123F5C2B" w:rsidR="002C088B" w:rsidRPr="00094126" w:rsidRDefault="002C088B" w:rsidP="00BA014F">
      <w:pPr>
        <w:pStyle w:val="Heading3"/>
      </w:pPr>
      <w:r w:rsidRPr="00094126">
        <w:t xml:space="preserve">Call </w:t>
      </w:r>
      <w:r w:rsidR="00BA014F">
        <w:t>f</w:t>
      </w:r>
      <w:r>
        <w:t>ees</w:t>
      </w:r>
    </w:p>
    <w:p w14:paraId="2D1FB83B" w14:textId="77777777" w:rsidR="002C088B" w:rsidRDefault="002C088B" w:rsidP="002C088B">
      <w:r>
        <w:t>Call Fees are</w:t>
      </w:r>
      <w:r w:rsidRPr="00EF2473">
        <w:t xml:space="preserve"> </w:t>
      </w:r>
      <w:r>
        <w:t>payable</w:t>
      </w:r>
      <w:r w:rsidRPr="00EF2473">
        <w:t xml:space="preserve"> on a per second basis. These </w:t>
      </w:r>
      <w:r>
        <w:t>fees</w:t>
      </w:r>
      <w:r w:rsidRPr="00EF2473">
        <w:t xml:space="preserve"> are levied on the basis of </w:t>
      </w:r>
      <w:r>
        <w:t>s</w:t>
      </w:r>
      <w:r w:rsidRPr="00EF2473">
        <w:t xml:space="preserve">uccessful </w:t>
      </w:r>
      <w:r>
        <w:t>c</w:t>
      </w:r>
      <w:r w:rsidRPr="00EF2473">
        <w:t xml:space="preserve">all completions made on any of the </w:t>
      </w:r>
      <w:r>
        <w:t>Endpoints</w:t>
      </w:r>
      <w:r w:rsidRPr="00EF2473">
        <w:t xml:space="preserve"> associated with t</w:t>
      </w:r>
      <w:r>
        <w:t xml:space="preserve">he </w:t>
      </w:r>
      <w:r w:rsidRPr="00EF2473">
        <w:t xml:space="preserve">Service. Second </w:t>
      </w:r>
      <w:r>
        <w:t>b</w:t>
      </w:r>
      <w:r w:rsidRPr="00EF2473">
        <w:t xml:space="preserve">ased </w:t>
      </w:r>
      <w:r>
        <w:t>u</w:t>
      </w:r>
      <w:r w:rsidRPr="00EF2473">
        <w:t xml:space="preserve">sage </w:t>
      </w:r>
      <w:r>
        <w:t>Fees</w:t>
      </w:r>
      <w:r w:rsidRPr="00EF2473">
        <w:t xml:space="preserve"> shall be </w:t>
      </w:r>
      <w:r>
        <w:t xml:space="preserve">subject to a call tariff </w:t>
      </w:r>
      <w:r w:rsidRPr="00EF2473">
        <w:t>as detailed on the Order</w:t>
      </w:r>
      <w:r>
        <w:t xml:space="preserve"> Form</w:t>
      </w:r>
      <w:r w:rsidRPr="00EF2473">
        <w:t>.</w:t>
      </w:r>
    </w:p>
    <w:p w14:paraId="34EB8B12" w14:textId="166FE7E1" w:rsidR="002C088B" w:rsidRPr="00022FB5" w:rsidRDefault="002C088B" w:rsidP="00BA014F">
      <w:pPr>
        <w:pStyle w:val="Heading3"/>
        <w:rPr>
          <w:bCs/>
        </w:rPr>
      </w:pPr>
      <w:r w:rsidRPr="00022FB5">
        <w:t>Professi</w:t>
      </w:r>
      <w:r w:rsidR="00BA014F">
        <w:t>onal s</w:t>
      </w:r>
      <w:r w:rsidRPr="00022FB5">
        <w:t>ervices</w:t>
      </w:r>
    </w:p>
    <w:p w14:paraId="4B4310FF" w14:textId="77777777" w:rsidR="002C088B" w:rsidRPr="00EF2473" w:rsidRDefault="002C088B" w:rsidP="002C088B">
      <w:r>
        <w:t>Additional t</w:t>
      </w:r>
      <w:r w:rsidRPr="00EF2473">
        <w:t xml:space="preserve">asks undertaken by Node4 at the request of the Customer or activities undertaken by the Customer which require the </w:t>
      </w:r>
      <w:r>
        <w:t>remote support</w:t>
      </w:r>
      <w:r w:rsidRPr="00EF2473">
        <w:t xml:space="preserve"> of Node4 personnel will be charged at the hourly rates shown below.</w:t>
      </w:r>
    </w:p>
    <w:tbl>
      <w:tblPr>
        <w:tblStyle w:val="N4Table"/>
        <w:tblW w:w="0" w:type="auto"/>
        <w:tblLook w:val="01E0" w:firstRow="1" w:lastRow="1" w:firstColumn="1" w:lastColumn="1" w:noHBand="0" w:noVBand="0"/>
      </w:tblPr>
      <w:tblGrid>
        <w:gridCol w:w="1726"/>
        <w:gridCol w:w="1441"/>
        <w:gridCol w:w="1437"/>
      </w:tblGrid>
      <w:tr w:rsidR="002C088B" w:rsidRPr="001F6EB9" w14:paraId="3163B891" w14:textId="77777777" w:rsidTr="006F2300">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785" w:type="dxa"/>
            <w:vAlign w:val="top"/>
          </w:tcPr>
          <w:p w14:paraId="66EFF035" w14:textId="77777777" w:rsidR="002C088B" w:rsidRPr="00A239AD" w:rsidRDefault="002C088B" w:rsidP="006F2300">
            <w:pPr>
              <w:jc w:val="left"/>
              <w:rPr>
                <w:b w:val="0"/>
                <w:color w:val="FFFFFF" w:themeColor="background1"/>
              </w:rPr>
            </w:pPr>
            <w:r w:rsidRPr="00A239AD">
              <w:rPr>
                <w:b w:val="0"/>
                <w:color w:val="FFFFFF" w:themeColor="background1"/>
              </w:rPr>
              <w:t>Time support required:</w:t>
            </w:r>
          </w:p>
        </w:tc>
        <w:tc>
          <w:tcPr>
            <w:tcW w:w="1499" w:type="dxa"/>
            <w:vAlign w:val="top"/>
          </w:tcPr>
          <w:p w14:paraId="1DDF1ED6" w14:textId="77777777" w:rsidR="002C088B" w:rsidRPr="00A239AD" w:rsidRDefault="002C088B" w:rsidP="006F2300">
            <w:pPr>
              <w:jc w:val="lef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239AD">
              <w:rPr>
                <w:b w:val="0"/>
                <w:color w:val="FFFFFF" w:themeColor="background1"/>
              </w:rPr>
              <w:t>Per Hour</w:t>
            </w:r>
          </w:p>
        </w:tc>
        <w:tc>
          <w:tcPr>
            <w:cnfStyle w:val="000100000000" w:firstRow="0" w:lastRow="0" w:firstColumn="0" w:lastColumn="1" w:oddVBand="0" w:evenVBand="0" w:oddHBand="0" w:evenHBand="0" w:firstRowFirstColumn="0" w:firstRowLastColumn="0" w:lastRowFirstColumn="0" w:lastRowLastColumn="0"/>
            <w:tcW w:w="1479" w:type="dxa"/>
            <w:vAlign w:val="top"/>
          </w:tcPr>
          <w:p w14:paraId="13AEBBB5" w14:textId="77777777" w:rsidR="002C088B" w:rsidRPr="00A239AD" w:rsidRDefault="002C088B" w:rsidP="006F2300">
            <w:pPr>
              <w:jc w:val="left"/>
              <w:rPr>
                <w:b w:val="0"/>
                <w:color w:val="FFFFFF" w:themeColor="background1"/>
              </w:rPr>
            </w:pPr>
            <w:r w:rsidRPr="00A239AD">
              <w:rPr>
                <w:b w:val="0"/>
                <w:color w:val="FFFFFF" w:themeColor="background1"/>
              </w:rPr>
              <w:t>Per Day</w:t>
            </w:r>
          </w:p>
        </w:tc>
      </w:tr>
      <w:tr w:rsidR="002C088B" w:rsidRPr="001F6EB9" w14:paraId="5CEC62D8" w14:textId="77777777" w:rsidTr="006F2300">
        <w:trPr>
          <w:trHeight w:val="605"/>
        </w:trPr>
        <w:tc>
          <w:tcPr>
            <w:cnfStyle w:val="001000000000" w:firstRow="0" w:lastRow="0" w:firstColumn="1" w:lastColumn="0" w:oddVBand="0" w:evenVBand="0" w:oddHBand="0" w:evenHBand="0" w:firstRowFirstColumn="0" w:firstRowLastColumn="0" w:lastRowFirstColumn="0" w:lastRowLastColumn="0"/>
            <w:tcW w:w="1785" w:type="dxa"/>
            <w:vAlign w:val="top"/>
          </w:tcPr>
          <w:p w14:paraId="59AC53CA" w14:textId="77777777" w:rsidR="002C088B" w:rsidRPr="005723D5" w:rsidRDefault="002C088B" w:rsidP="006F2300">
            <w:pPr>
              <w:jc w:val="left"/>
              <w:rPr>
                <w:b w:val="0"/>
              </w:rPr>
            </w:pPr>
            <w:r w:rsidRPr="005723D5">
              <w:rPr>
                <w:b w:val="0"/>
              </w:rPr>
              <w:t xml:space="preserve">Mon – Fri </w:t>
            </w:r>
          </w:p>
          <w:p w14:paraId="4317404D" w14:textId="77777777" w:rsidR="002C088B" w:rsidRPr="005723D5" w:rsidRDefault="002C088B" w:rsidP="006F2300">
            <w:pPr>
              <w:jc w:val="left"/>
              <w:rPr>
                <w:b w:val="0"/>
              </w:rPr>
            </w:pPr>
            <w:r w:rsidRPr="005723D5">
              <w:rPr>
                <w:b w:val="0"/>
              </w:rPr>
              <w:t>business hours</w:t>
            </w:r>
          </w:p>
        </w:tc>
        <w:tc>
          <w:tcPr>
            <w:tcW w:w="1499" w:type="dxa"/>
            <w:vAlign w:val="top"/>
          </w:tcPr>
          <w:p w14:paraId="6E0AB498" w14:textId="77777777" w:rsidR="002C088B" w:rsidRPr="005723D5" w:rsidRDefault="002C088B" w:rsidP="006F2300">
            <w:pPr>
              <w:jc w:val="left"/>
              <w:cnfStyle w:val="000000000000" w:firstRow="0" w:lastRow="0" w:firstColumn="0" w:lastColumn="0" w:oddVBand="0" w:evenVBand="0" w:oddHBand="0" w:evenHBand="0" w:firstRowFirstColumn="0" w:firstRowLastColumn="0" w:lastRowFirstColumn="0" w:lastRowLastColumn="0"/>
            </w:pPr>
            <w:r w:rsidRPr="005723D5">
              <w:t xml:space="preserve">£60.00 </w:t>
            </w:r>
          </w:p>
        </w:tc>
        <w:tc>
          <w:tcPr>
            <w:cnfStyle w:val="000100000000" w:firstRow="0" w:lastRow="0" w:firstColumn="0" w:lastColumn="1" w:oddVBand="0" w:evenVBand="0" w:oddHBand="0" w:evenHBand="0" w:firstRowFirstColumn="0" w:firstRowLastColumn="0" w:lastRowFirstColumn="0" w:lastRowLastColumn="0"/>
            <w:tcW w:w="1479" w:type="dxa"/>
            <w:vAlign w:val="top"/>
          </w:tcPr>
          <w:p w14:paraId="2BBF1744" w14:textId="77777777" w:rsidR="002C088B" w:rsidRPr="005723D5" w:rsidRDefault="002C088B" w:rsidP="006F2300">
            <w:pPr>
              <w:jc w:val="left"/>
              <w:rPr>
                <w:b w:val="0"/>
              </w:rPr>
            </w:pPr>
            <w:r w:rsidRPr="005723D5">
              <w:rPr>
                <w:b w:val="0"/>
              </w:rPr>
              <w:t xml:space="preserve">£480.00 </w:t>
            </w:r>
          </w:p>
        </w:tc>
      </w:tr>
      <w:tr w:rsidR="002C088B" w:rsidRPr="001F6EB9" w14:paraId="0E270BF3" w14:textId="77777777" w:rsidTr="006F2300">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85" w:type="dxa"/>
            <w:vAlign w:val="top"/>
          </w:tcPr>
          <w:p w14:paraId="7398DBD2" w14:textId="77777777" w:rsidR="002C088B" w:rsidRPr="005723D5" w:rsidRDefault="002C088B" w:rsidP="006F2300">
            <w:pPr>
              <w:jc w:val="left"/>
              <w:rPr>
                <w:b w:val="0"/>
              </w:rPr>
            </w:pPr>
            <w:r w:rsidRPr="005723D5">
              <w:rPr>
                <w:b w:val="0"/>
              </w:rPr>
              <w:t>Mon – Fri</w:t>
            </w:r>
          </w:p>
          <w:p w14:paraId="4A3601F2" w14:textId="77777777" w:rsidR="002C088B" w:rsidRPr="005723D5" w:rsidRDefault="002C088B" w:rsidP="006F2300">
            <w:pPr>
              <w:jc w:val="left"/>
              <w:rPr>
                <w:b w:val="0"/>
              </w:rPr>
            </w:pPr>
            <w:r w:rsidRPr="005723D5">
              <w:rPr>
                <w:b w:val="0"/>
              </w:rPr>
              <w:t>other times</w:t>
            </w:r>
          </w:p>
        </w:tc>
        <w:tc>
          <w:tcPr>
            <w:tcW w:w="1499" w:type="dxa"/>
            <w:vAlign w:val="top"/>
          </w:tcPr>
          <w:p w14:paraId="14F58818" w14:textId="77777777" w:rsidR="002C088B" w:rsidRPr="005723D5" w:rsidRDefault="002C088B" w:rsidP="006F2300">
            <w:pPr>
              <w:jc w:val="left"/>
              <w:cnfStyle w:val="000000010000" w:firstRow="0" w:lastRow="0" w:firstColumn="0" w:lastColumn="0" w:oddVBand="0" w:evenVBand="0" w:oddHBand="0" w:evenHBand="1" w:firstRowFirstColumn="0" w:firstRowLastColumn="0" w:lastRowFirstColumn="0" w:lastRowLastColumn="0"/>
            </w:pPr>
            <w:r w:rsidRPr="005723D5">
              <w:t xml:space="preserve">£100.00 </w:t>
            </w:r>
          </w:p>
        </w:tc>
        <w:tc>
          <w:tcPr>
            <w:cnfStyle w:val="000100000000" w:firstRow="0" w:lastRow="0" w:firstColumn="0" w:lastColumn="1" w:oddVBand="0" w:evenVBand="0" w:oddHBand="0" w:evenHBand="0" w:firstRowFirstColumn="0" w:firstRowLastColumn="0" w:lastRowFirstColumn="0" w:lastRowLastColumn="0"/>
            <w:tcW w:w="1479" w:type="dxa"/>
            <w:vAlign w:val="top"/>
          </w:tcPr>
          <w:p w14:paraId="2A72B8C4" w14:textId="77777777" w:rsidR="002C088B" w:rsidRPr="005723D5" w:rsidRDefault="002C088B" w:rsidP="006F2300">
            <w:pPr>
              <w:jc w:val="left"/>
              <w:rPr>
                <w:b w:val="0"/>
              </w:rPr>
            </w:pPr>
            <w:r w:rsidRPr="005723D5">
              <w:rPr>
                <w:b w:val="0"/>
              </w:rPr>
              <w:t>POA</w:t>
            </w:r>
          </w:p>
        </w:tc>
      </w:tr>
      <w:tr w:rsidR="002C088B" w:rsidRPr="001F6EB9" w14:paraId="523B7096" w14:textId="77777777" w:rsidTr="006F2300">
        <w:tc>
          <w:tcPr>
            <w:cnfStyle w:val="001000000000" w:firstRow="0" w:lastRow="0" w:firstColumn="1" w:lastColumn="0" w:oddVBand="0" w:evenVBand="0" w:oddHBand="0" w:evenHBand="0" w:firstRowFirstColumn="0" w:firstRowLastColumn="0" w:lastRowFirstColumn="0" w:lastRowLastColumn="0"/>
            <w:tcW w:w="1785" w:type="dxa"/>
            <w:vAlign w:val="top"/>
          </w:tcPr>
          <w:p w14:paraId="0B022D77" w14:textId="77777777" w:rsidR="002C088B" w:rsidRPr="005723D5" w:rsidRDefault="002C088B" w:rsidP="006F2300">
            <w:pPr>
              <w:jc w:val="left"/>
              <w:rPr>
                <w:b w:val="0"/>
              </w:rPr>
            </w:pPr>
            <w:r w:rsidRPr="005723D5">
              <w:rPr>
                <w:b w:val="0"/>
              </w:rPr>
              <w:t>Saturday</w:t>
            </w:r>
          </w:p>
        </w:tc>
        <w:tc>
          <w:tcPr>
            <w:tcW w:w="1499" w:type="dxa"/>
            <w:vAlign w:val="top"/>
          </w:tcPr>
          <w:p w14:paraId="6D96ECF1" w14:textId="77777777" w:rsidR="002C088B" w:rsidRPr="005723D5" w:rsidRDefault="002C088B" w:rsidP="006F2300">
            <w:pPr>
              <w:jc w:val="left"/>
              <w:cnfStyle w:val="000000000000" w:firstRow="0" w:lastRow="0" w:firstColumn="0" w:lastColumn="0" w:oddVBand="0" w:evenVBand="0" w:oddHBand="0" w:evenHBand="0" w:firstRowFirstColumn="0" w:firstRowLastColumn="0" w:lastRowFirstColumn="0" w:lastRowLastColumn="0"/>
            </w:pPr>
            <w:r w:rsidRPr="005723D5">
              <w:t xml:space="preserve">£100.00 </w:t>
            </w:r>
          </w:p>
        </w:tc>
        <w:tc>
          <w:tcPr>
            <w:cnfStyle w:val="000100000000" w:firstRow="0" w:lastRow="0" w:firstColumn="0" w:lastColumn="1" w:oddVBand="0" w:evenVBand="0" w:oddHBand="0" w:evenHBand="0" w:firstRowFirstColumn="0" w:firstRowLastColumn="0" w:lastRowFirstColumn="0" w:lastRowLastColumn="0"/>
            <w:tcW w:w="1479" w:type="dxa"/>
            <w:vAlign w:val="top"/>
          </w:tcPr>
          <w:p w14:paraId="520CDB07" w14:textId="77777777" w:rsidR="002C088B" w:rsidRPr="005723D5" w:rsidRDefault="002C088B" w:rsidP="006F2300">
            <w:pPr>
              <w:jc w:val="left"/>
              <w:rPr>
                <w:b w:val="0"/>
              </w:rPr>
            </w:pPr>
            <w:r w:rsidRPr="005723D5">
              <w:rPr>
                <w:b w:val="0"/>
              </w:rPr>
              <w:t>POA</w:t>
            </w:r>
          </w:p>
        </w:tc>
      </w:tr>
      <w:tr w:rsidR="002C088B" w:rsidRPr="00EF2473" w14:paraId="1423BA18" w14:textId="77777777" w:rsidTr="006F23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shd w:val="clear" w:color="auto" w:fill="D9D9D9" w:themeFill="background1" w:themeFillShade="D9"/>
            <w:vAlign w:val="top"/>
          </w:tcPr>
          <w:p w14:paraId="4D5B0A8D" w14:textId="77777777" w:rsidR="002C088B" w:rsidRPr="005723D5" w:rsidRDefault="002C088B" w:rsidP="006F2300">
            <w:pPr>
              <w:jc w:val="left"/>
              <w:rPr>
                <w:b w:val="0"/>
              </w:rPr>
            </w:pPr>
            <w:r w:rsidRPr="005723D5">
              <w:rPr>
                <w:b w:val="0"/>
              </w:rPr>
              <w:lastRenderedPageBreak/>
              <w:t>Sunday</w:t>
            </w:r>
          </w:p>
        </w:tc>
        <w:tc>
          <w:tcPr>
            <w:tcW w:w="1499" w:type="dxa"/>
            <w:shd w:val="clear" w:color="auto" w:fill="D9D9D9" w:themeFill="background1" w:themeFillShade="D9"/>
            <w:vAlign w:val="top"/>
          </w:tcPr>
          <w:p w14:paraId="38B097D1" w14:textId="77777777" w:rsidR="002C088B" w:rsidRPr="005723D5" w:rsidRDefault="002C088B" w:rsidP="006F2300">
            <w:pPr>
              <w:jc w:val="left"/>
              <w:cnfStyle w:val="010000000000" w:firstRow="0" w:lastRow="1" w:firstColumn="0" w:lastColumn="0" w:oddVBand="0" w:evenVBand="0" w:oddHBand="0" w:evenHBand="0" w:firstRowFirstColumn="0" w:firstRowLastColumn="0" w:lastRowFirstColumn="0" w:lastRowLastColumn="0"/>
              <w:rPr>
                <w:b w:val="0"/>
              </w:rPr>
            </w:pPr>
            <w:r w:rsidRPr="005723D5">
              <w:rPr>
                <w:b w:val="0"/>
              </w:rPr>
              <w:t xml:space="preserve">£100.00 </w:t>
            </w:r>
          </w:p>
        </w:tc>
        <w:tc>
          <w:tcPr>
            <w:cnfStyle w:val="000100000000" w:firstRow="0" w:lastRow="0" w:firstColumn="0" w:lastColumn="1" w:oddVBand="0" w:evenVBand="0" w:oddHBand="0" w:evenHBand="0" w:firstRowFirstColumn="0" w:firstRowLastColumn="0" w:lastRowFirstColumn="0" w:lastRowLastColumn="0"/>
            <w:tcW w:w="1479" w:type="dxa"/>
            <w:shd w:val="clear" w:color="auto" w:fill="D9D9D9" w:themeFill="background1" w:themeFillShade="D9"/>
            <w:vAlign w:val="top"/>
          </w:tcPr>
          <w:p w14:paraId="69BD0989" w14:textId="77777777" w:rsidR="002C088B" w:rsidRPr="005723D5" w:rsidRDefault="002C088B" w:rsidP="006F2300">
            <w:pPr>
              <w:jc w:val="left"/>
              <w:rPr>
                <w:b w:val="0"/>
              </w:rPr>
            </w:pPr>
            <w:r w:rsidRPr="005723D5">
              <w:rPr>
                <w:b w:val="0"/>
              </w:rPr>
              <w:t>POA</w:t>
            </w:r>
          </w:p>
        </w:tc>
      </w:tr>
    </w:tbl>
    <w:p w14:paraId="39A6DEB8" w14:textId="77777777" w:rsidR="002C088B" w:rsidRPr="00EF2473" w:rsidRDefault="002C088B" w:rsidP="002C088B"/>
    <w:p w14:paraId="51BB14EE" w14:textId="77777777" w:rsidR="002C088B" w:rsidRPr="00EF2473" w:rsidRDefault="002C088B" w:rsidP="002C088B">
      <w:r w:rsidRPr="00D1208E">
        <w:t xml:space="preserve">These rates are for a trained </w:t>
      </w:r>
      <w:r w:rsidRPr="00E4044F">
        <w:t>engineer</w:t>
      </w:r>
      <w:r w:rsidRPr="00D1208E">
        <w:t xml:space="preserve"> and </w:t>
      </w:r>
      <w:r w:rsidRPr="00574020">
        <w:t xml:space="preserve">are subject to an annual review by Node4.  For </w:t>
      </w:r>
      <w:r w:rsidRPr="001E52B9">
        <w:t>Senior Engineers other charges apply.</w:t>
      </w:r>
      <w:r w:rsidRPr="00D1208E">
        <w:t xml:space="preserve"> Please contact your account manager for details.</w:t>
      </w:r>
    </w:p>
    <w:p w14:paraId="111ED15F" w14:textId="07EAF234" w:rsidR="002C088B" w:rsidRPr="00C60248" w:rsidRDefault="002C088B" w:rsidP="002C088B">
      <w:pPr>
        <w:pStyle w:val="Heading2"/>
        <w:numPr>
          <w:ilvl w:val="0"/>
          <w:numId w:val="32"/>
        </w:numPr>
        <w:ind w:left="426"/>
      </w:pPr>
      <w:r w:rsidRPr="00821206">
        <w:t>P</w:t>
      </w:r>
      <w:r w:rsidR="00BA014F">
        <w:t xml:space="preserve">rovision of services </w:t>
      </w:r>
    </w:p>
    <w:p w14:paraId="6652D3FE" w14:textId="77777777" w:rsidR="002C088B" w:rsidRDefault="002C088B" w:rsidP="002C088B">
      <w:r>
        <w:t>The Node4 Collaboration service provides the customer:</w:t>
      </w:r>
    </w:p>
    <w:p w14:paraId="129BB71B" w14:textId="77777777" w:rsidR="002C088B" w:rsidRPr="00B3450F" w:rsidRDefault="002C088B" w:rsidP="002C088B">
      <w:pPr>
        <w:pStyle w:val="ListParagraph"/>
        <w:numPr>
          <w:ilvl w:val="0"/>
          <w:numId w:val="34"/>
        </w:numPr>
        <w:ind w:left="426"/>
        <w:jc w:val="left"/>
      </w:pPr>
      <w:r w:rsidRPr="00B3450F">
        <w:t>extension(s) on a Hosted Unified Communications Platform which is run on either a dedicated server environment or the N4cloud virtualized platform</w:t>
      </w:r>
    </w:p>
    <w:p w14:paraId="7ACC35A3" w14:textId="77777777" w:rsidR="002C088B" w:rsidRPr="00B3450F" w:rsidRDefault="002C088B" w:rsidP="002C088B">
      <w:pPr>
        <w:pStyle w:val="ListParagraph"/>
        <w:numPr>
          <w:ilvl w:val="0"/>
          <w:numId w:val="34"/>
        </w:numPr>
        <w:ind w:left="426"/>
        <w:jc w:val="left"/>
      </w:pPr>
      <w:r w:rsidRPr="00B3450F">
        <w:t>other applications identified on the Order Form</w:t>
      </w:r>
    </w:p>
    <w:p w14:paraId="07329C37" w14:textId="77777777" w:rsidR="002C088B" w:rsidRPr="00B3450F" w:rsidRDefault="002C088B" w:rsidP="002C088B">
      <w:pPr>
        <w:pStyle w:val="ListParagraph"/>
        <w:numPr>
          <w:ilvl w:val="0"/>
          <w:numId w:val="34"/>
        </w:numPr>
        <w:ind w:left="426"/>
        <w:jc w:val="left"/>
      </w:pPr>
      <w:r w:rsidRPr="00B3450F">
        <w:t>the ability to make and receive telephone calls via the Node4 SIPlink platform</w:t>
      </w:r>
    </w:p>
    <w:p w14:paraId="3B9F8FF8" w14:textId="77777777" w:rsidR="002C088B" w:rsidRDefault="002C088B" w:rsidP="002C088B">
      <w:pPr>
        <w:pStyle w:val="ListParagraph"/>
        <w:numPr>
          <w:ilvl w:val="0"/>
          <w:numId w:val="34"/>
        </w:numPr>
        <w:ind w:left="426"/>
        <w:jc w:val="left"/>
      </w:pPr>
      <w:r w:rsidRPr="00B3450F">
        <w:t>Node4 are not responsible for QoS, unless delivered across a Node4’s QoS enabled service</w:t>
      </w:r>
    </w:p>
    <w:p w14:paraId="6B281D16" w14:textId="1AB1D299" w:rsidR="009D18E1" w:rsidRDefault="002C088B" w:rsidP="002C088B">
      <w:pPr>
        <w:rPr>
          <w:rFonts w:cs="Arial"/>
          <w:color w:val="434343"/>
        </w:rPr>
      </w:pPr>
      <w:r>
        <w:t xml:space="preserve">The Node4 Collaboration service enables </w:t>
      </w:r>
      <w:r w:rsidRPr="00E4044F">
        <w:rPr>
          <w:rFonts w:cs="Arial"/>
          <w:color w:val="434343"/>
        </w:rPr>
        <w:t>end users to be as mobile as they need to be, while also taking advantage of the latest technologies in voice, video, messaging, instant messaging (IM) and presence, delivered from the cloud</w:t>
      </w:r>
    </w:p>
    <w:tbl>
      <w:tblPr>
        <w:tblStyle w:val="N4Table"/>
        <w:tblpPr w:leftFromText="181" w:rightFromText="181" w:vertAnchor="page" w:horzAnchor="margin" w:tblpY="9814"/>
        <w:tblOverlap w:val="never"/>
        <w:tblW w:w="4637" w:type="dxa"/>
        <w:tblLayout w:type="fixed"/>
        <w:tblCellMar>
          <w:top w:w="28" w:type="dxa"/>
          <w:left w:w="28" w:type="dxa"/>
          <w:bottom w:w="28" w:type="dxa"/>
          <w:right w:w="28" w:type="dxa"/>
        </w:tblCellMar>
        <w:tblLook w:val="01E0" w:firstRow="1" w:lastRow="1" w:firstColumn="1" w:lastColumn="1" w:noHBand="0" w:noVBand="0"/>
      </w:tblPr>
      <w:tblGrid>
        <w:gridCol w:w="796"/>
        <w:gridCol w:w="338"/>
        <w:gridCol w:w="567"/>
        <w:gridCol w:w="641"/>
        <w:gridCol w:w="797"/>
        <w:gridCol w:w="735"/>
        <w:gridCol w:w="763"/>
      </w:tblGrid>
      <w:tr w:rsidR="009D18E1" w:rsidRPr="001F6EB9" w14:paraId="2862A5A4" w14:textId="77777777" w:rsidTr="009D18E1">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63" w:type="dxa"/>
            <w:shd w:val="clear" w:color="auto" w:fill="FFFFFF" w:themeFill="background1"/>
            <w:vAlign w:val="top"/>
          </w:tcPr>
          <w:p w14:paraId="60EDA888" w14:textId="77777777" w:rsidR="009D18E1" w:rsidRPr="00A239AD" w:rsidRDefault="009D18E1" w:rsidP="009D18E1">
            <w:pPr>
              <w:jc w:val="left"/>
              <w:rPr>
                <w:b w:val="0"/>
                <w:color w:val="FFFFFF" w:themeColor="background1"/>
                <w:sz w:val="14"/>
                <w:szCs w:val="14"/>
              </w:rPr>
            </w:pPr>
            <w:r>
              <w:rPr>
                <w:rFonts w:cs="Arial"/>
                <w:color w:val="434343"/>
              </w:rPr>
              <w:br w:type="column"/>
            </w:r>
          </w:p>
        </w:tc>
        <w:tc>
          <w:tcPr>
            <w:tcW w:w="3056" w:type="dxa"/>
            <w:gridSpan w:val="5"/>
            <w:tcMar>
              <w:top w:w="28" w:type="dxa"/>
              <w:left w:w="28" w:type="dxa"/>
              <w:bottom w:w="28" w:type="dxa"/>
              <w:right w:w="28" w:type="dxa"/>
            </w:tcMar>
            <w:vAlign w:val="top"/>
          </w:tcPr>
          <w:p w14:paraId="18674678" w14:textId="77777777" w:rsidR="009D18E1" w:rsidRPr="00A239AD" w:rsidRDefault="009D18E1" w:rsidP="009D18E1">
            <w:pPr>
              <w:jc w:val="left"/>
              <w:cnfStyle w:val="100000000000" w:firstRow="1" w:lastRow="0" w:firstColumn="0" w:lastColumn="0" w:oddVBand="0" w:evenVBand="0" w:oddHBand="0" w:evenHBand="0" w:firstRowFirstColumn="0" w:firstRowLastColumn="0" w:lastRowFirstColumn="0" w:lastRowLastColumn="0"/>
              <w:rPr>
                <w:b w:val="0"/>
                <w:color w:val="FFFFFF" w:themeColor="background1"/>
                <w:sz w:val="14"/>
                <w:szCs w:val="14"/>
              </w:rPr>
            </w:pPr>
            <w:r w:rsidRPr="00A239AD">
              <w:rPr>
                <w:b w:val="0"/>
                <w:color w:val="FFFFFF" w:themeColor="background1"/>
                <w:sz w:val="14"/>
                <w:szCs w:val="14"/>
              </w:rPr>
              <w:t>CISCO Powered</w:t>
            </w:r>
          </w:p>
        </w:tc>
        <w:tc>
          <w:tcPr>
            <w:cnfStyle w:val="000100000000" w:firstRow="0" w:lastRow="0" w:firstColumn="0" w:lastColumn="1" w:oddVBand="0" w:evenVBand="0" w:oddHBand="0" w:evenHBand="0" w:firstRowFirstColumn="0" w:firstRowLastColumn="0" w:lastRowFirstColumn="0" w:lastRowLastColumn="0"/>
            <w:tcW w:w="730" w:type="dxa"/>
            <w:tcMar>
              <w:top w:w="28" w:type="dxa"/>
              <w:left w:w="28" w:type="dxa"/>
              <w:bottom w:w="28" w:type="dxa"/>
              <w:right w:w="28" w:type="dxa"/>
            </w:tcMar>
            <w:vAlign w:val="top"/>
          </w:tcPr>
          <w:p w14:paraId="4D0733FF" w14:textId="77777777" w:rsidR="009D18E1" w:rsidRPr="00A239AD" w:rsidRDefault="009D18E1" w:rsidP="009D18E1">
            <w:pPr>
              <w:jc w:val="left"/>
              <w:rPr>
                <w:b w:val="0"/>
                <w:color w:val="FFFFFF" w:themeColor="background1"/>
                <w:sz w:val="14"/>
                <w:szCs w:val="14"/>
              </w:rPr>
            </w:pPr>
            <w:r w:rsidRPr="00A239AD">
              <w:rPr>
                <w:b w:val="0"/>
                <w:color w:val="FFFFFF" w:themeColor="background1"/>
                <w:sz w:val="14"/>
                <w:szCs w:val="14"/>
              </w:rPr>
              <w:t xml:space="preserve">NEC </w:t>
            </w:r>
            <w:r w:rsidRPr="00E627EF">
              <w:rPr>
                <w:b w:val="0"/>
                <w:color w:val="FFFFFF" w:themeColor="background1"/>
                <w:sz w:val="10"/>
                <w:szCs w:val="10"/>
              </w:rPr>
              <w:t>Powered</w:t>
            </w:r>
          </w:p>
        </w:tc>
      </w:tr>
      <w:tr w:rsidR="009D18E1" w:rsidRPr="001F6EB9" w14:paraId="5599999E" w14:textId="77777777" w:rsidTr="009D18E1">
        <w:trPr>
          <w:trHeight w:val="337"/>
        </w:trPr>
        <w:tc>
          <w:tcPr>
            <w:cnfStyle w:val="001000000000" w:firstRow="0" w:lastRow="0" w:firstColumn="1" w:lastColumn="0" w:oddVBand="0" w:evenVBand="0" w:oddHBand="0" w:evenHBand="0" w:firstRowFirstColumn="0" w:firstRowLastColumn="0" w:lastRowFirstColumn="0" w:lastRowLastColumn="0"/>
            <w:tcW w:w="1101" w:type="dxa"/>
            <w:gridSpan w:val="2"/>
            <w:shd w:val="clear" w:color="auto" w:fill="989898" w:themeFill="text1" w:themeFillTint="80"/>
            <w:vAlign w:val="top"/>
          </w:tcPr>
          <w:p w14:paraId="6B793C8C" w14:textId="77777777" w:rsidR="009D18E1" w:rsidRPr="00E627EF" w:rsidRDefault="009D18E1" w:rsidP="009D18E1">
            <w:pPr>
              <w:jc w:val="left"/>
              <w:rPr>
                <w:b w:val="0"/>
                <w:color w:val="FFFFFF" w:themeColor="background1"/>
                <w:sz w:val="11"/>
                <w:szCs w:val="11"/>
              </w:rPr>
            </w:pPr>
            <w:r w:rsidRPr="00E627EF">
              <w:rPr>
                <w:b w:val="0"/>
                <w:color w:val="FFFFFF" w:themeColor="background1"/>
                <w:sz w:val="11"/>
                <w:szCs w:val="11"/>
              </w:rPr>
              <w:t>Service Component</w:t>
            </w:r>
          </w:p>
        </w:tc>
        <w:tc>
          <w:tcPr>
            <w:tcW w:w="545" w:type="dxa"/>
            <w:shd w:val="clear" w:color="auto" w:fill="989898" w:themeFill="text1" w:themeFillTint="80"/>
            <w:tcMar>
              <w:top w:w="28" w:type="dxa"/>
              <w:left w:w="28" w:type="dxa"/>
              <w:bottom w:w="28" w:type="dxa"/>
              <w:right w:w="28" w:type="dxa"/>
            </w:tcMar>
            <w:vAlign w:val="top"/>
          </w:tcPr>
          <w:p w14:paraId="2514BB00"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color w:val="FFFFFF" w:themeColor="background1"/>
                <w:sz w:val="11"/>
                <w:szCs w:val="11"/>
              </w:rPr>
            </w:pPr>
            <w:r w:rsidRPr="00E627EF">
              <w:rPr>
                <w:color w:val="FFFFFF" w:themeColor="background1"/>
                <w:sz w:val="11"/>
                <w:szCs w:val="11"/>
              </w:rPr>
              <w:t>Essential</w:t>
            </w:r>
          </w:p>
        </w:tc>
        <w:tc>
          <w:tcPr>
            <w:tcW w:w="619" w:type="dxa"/>
            <w:shd w:val="clear" w:color="auto" w:fill="989898" w:themeFill="text1" w:themeFillTint="80"/>
            <w:tcMar>
              <w:top w:w="28" w:type="dxa"/>
              <w:left w:w="28" w:type="dxa"/>
              <w:bottom w:w="28" w:type="dxa"/>
              <w:right w:w="28" w:type="dxa"/>
            </w:tcMar>
            <w:vAlign w:val="top"/>
          </w:tcPr>
          <w:p w14:paraId="2756B775"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color w:val="FFFFFF" w:themeColor="background1"/>
                <w:sz w:val="11"/>
                <w:szCs w:val="11"/>
              </w:rPr>
            </w:pPr>
            <w:r w:rsidRPr="00E627EF">
              <w:rPr>
                <w:color w:val="FFFFFF" w:themeColor="background1"/>
                <w:sz w:val="11"/>
                <w:szCs w:val="11"/>
              </w:rPr>
              <w:t xml:space="preserve">Basic </w:t>
            </w:r>
          </w:p>
        </w:tc>
        <w:tc>
          <w:tcPr>
            <w:tcW w:w="775" w:type="dxa"/>
            <w:shd w:val="clear" w:color="auto" w:fill="989898" w:themeFill="text1" w:themeFillTint="80"/>
            <w:tcMar>
              <w:top w:w="28" w:type="dxa"/>
              <w:left w:w="28" w:type="dxa"/>
              <w:bottom w:w="28" w:type="dxa"/>
              <w:right w:w="28" w:type="dxa"/>
            </w:tcMar>
            <w:vAlign w:val="top"/>
          </w:tcPr>
          <w:p w14:paraId="44C8CFC8"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color w:val="FFFFFF" w:themeColor="background1"/>
                <w:sz w:val="11"/>
                <w:szCs w:val="11"/>
              </w:rPr>
            </w:pPr>
            <w:r w:rsidRPr="00E627EF">
              <w:rPr>
                <w:color w:val="FFFFFF" w:themeColor="background1"/>
                <w:sz w:val="11"/>
                <w:szCs w:val="11"/>
              </w:rPr>
              <w:t xml:space="preserve">Foundation </w:t>
            </w:r>
          </w:p>
        </w:tc>
        <w:tc>
          <w:tcPr>
            <w:tcW w:w="713" w:type="dxa"/>
            <w:shd w:val="clear" w:color="auto" w:fill="989898" w:themeFill="text1" w:themeFillTint="80"/>
            <w:tcMar>
              <w:top w:w="28" w:type="dxa"/>
              <w:left w:w="28" w:type="dxa"/>
              <w:bottom w:w="28" w:type="dxa"/>
              <w:right w:w="28" w:type="dxa"/>
            </w:tcMar>
            <w:vAlign w:val="top"/>
          </w:tcPr>
          <w:p w14:paraId="66D8020C"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color w:val="FFFFFF" w:themeColor="background1"/>
                <w:sz w:val="11"/>
                <w:szCs w:val="11"/>
              </w:rPr>
            </w:pPr>
            <w:r w:rsidRPr="00E627EF">
              <w:rPr>
                <w:color w:val="FFFFFF" w:themeColor="background1"/>
                <w:sz w:val="11"/>
                <w:szCs w:val="11"/>
              </w:rPr>
              <w:t xml:space="preserve">Standard </w:t>
            </w:r>
          </w:p>
        </w:tc>
        <w:tc>
          <w:tcPr>
            <w:cnfStyle w:val="000100000000" w:firstRow="0" w:lastRow="0" w:firstColumn="0" w:lastColumn="1" w:oddVBand="0" w:evenVBand="0" w:oddHBand="0" w:evenHBand="0" w:firstRowFirstColumn="0" w:firstRowLastColumn="0" w:lastRowFirstColumn="0" w:lastRowLastColumn="0"/>
            <w:tcW w:w="730" w:type="dxa"/>
            <w:shd w:val="clear" w:color="auto" w:fill="989898" w:themeFill="text1" w:themeFillTint="80"/>
            <w:tcMar>
              <w:top w:w="28" w:type="dxa"/>
              <w:left w:w="28" w:type="dxa"/>
              <w:bottom w:w="28" w:type="dxa"/>
              <w:right w:w="28" w:type="dxa"/>
            </w:tcMar>
            <w:vAlign w:val="top"/>
          </w:tcPr>
          <w:p w14:paraId="07D370C3" w14:textId="77777777" w:rsidR="009D18E1" w:rsidRPr="00E627EF" w:rsidRDefault="009D18E1" w:rsidP="009D18E1">
            <w:pPr>
              <w:jc w:val="left"/>
              <w:rPr>
                <w:b w:val="0"/>
                <w:color w:val="FFFFFF" w:themeColor="background1"/>
                <w:sz w:val="11"/>
                <w:szCs w:val="11"/>
              </w:rPr>
            </w:pPr>
            <w:r w:rsidRPr="00E627EF">
              <w:rPr>
                <w:b w:val="0"/>
                <w:color w:val="FFFFFF" w:themeColor="background1"/>
                <w:sz w:val="11"/>
                <w:szCs w:val="11"/>
              </w:rPr>
              <w:t xml:space="preserve">3C </w:t>
            </w:r>
          </w:p>
        </w:tc>
      </w:tr>
      <w:tr w:rsidR="009D18E1" w:rsidRPr="001F6EB9" w14:paraId="1454C4F2" w14:textId="77777777" w:rsidTr="009D18E1">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01" w:type="dxa"/>
            <w:gridSpan w:val="2"/>
            <w:vAlign w:val="top"/>
          </w:tcPr>
          <w:p w14:paraId="00A725C2" w14:textId="77777777" w:rsidR="009D18E1" w:rsidRPr="00E627EF" w:rsidRDefault="009D18E1" w:rsidP="009D18E1">
            <w:pPr>
              <w:jc w:val="left"/>
              <w:rPr>
                <w:b w:val="0"/>
                <w:sz w:val="11"/>
                <w:szCs w:val="11"/>
              </w:rPr>
            </w:pPr>
            <w:r w:rsidRPr="00E627EF">
              <w:rPr>
                <w:b w:val="0"/>
                <w:sz w:val="11"/>
                <w:szCs w:val="11"/>
              </w:rPr>
              <w:t>Basic Call Control</w:t>
            </w:r>
          </w:p>
        </w:tc>
        <w:tc>
          <w:tcPr>
            <w:tcW w:w="545" w:type="dxa"/>
            <w:shd w:val="clear" w:color="auto" w:fill="D9D9D9" w:themeFill="background1" w:themeFillShade="D9"/>
            <w:tcMar>
              <w:top w:w="28" w:type="dxa"/>
              <w:left w:w="28" w:type="dxa"/>
              <w:bottom w:w="28" w:type="dxa"/>
              <w:right w:w="28" w:type="dxa"/>
            </w:tcMar>
            <w:vAlign w:val="top"/>
          </w:tcPr>
          <w:p w14:paraId="27603169"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
                <w:bCs/>
                <w:sz w:val="11"/>
                <w:szCs w:val="11"/>
              </w:rPr>
            </w:pPr>
            <w:r w:rsidRPr="00A5217D">
              <w:rPr>
                <w:rFonts w:ascii="Wingdings" w:hAnsi="Wingdings"/>
                <w:color w:val="000000"/>
              </w:rPr>
              <w:t></w:t>
            </w:r>
          </w:p>
        </w:tc>
        <w:tc>
          <w:tcPr>
            <w:tcW w:w="619" w:type="dxa"/>
            <w:shd w:val="clear" w:color="auto" w:fill="D9D9D9" w:themeFill="background1" w:themeFillShade="D9"/>
            <w:tcMar>
              <w:top w:w="28" w:type="dxa"/>
              <w:left w:w="28" w:type="dxa"/>
              <w:bottom w:w="28" w:type="dxa"/>
              <w:right w:w="28" w:type="dxa"/>
            </w:tcMar>
            <w:vAlign w:val="top"/>
          </w:tcPr>
          <w:p w14:paraId="305449E3"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
                <w:bCs/>
                <w:sz w:val="11"/>
                <w:szCs w:val="11"/>
              </w:rPr>
            </w:pPr>
            <w:r w:rsidRPr="00A5217D">
              <w:rPr>
                <w:rFonts w:ascii="Wingdings" w:hAnsi="Wingdings"/>
                <w:color w:val="000000"/>
              </w:rPr>
              <w:t></w:t>
            </w:r>
          </w:p>
        </w:tc>
        <w:tc>
          <w:tcPr>
            <w:tcW w:w="775" w:type="dxa"/>
            <w:shd w:val="clear" w:color="auto" w:fill="D9D9D9" w:themeFill="background1" w:themeFillShade="D9"/>
            <w:tcMar>
              <w:top w:w="28" w:type="dxa"/>
              <w:left w:w="28" w:type="dxa"/>
              <w:bottom w:w="28" w:type="dxa"/>
              <w:right w:w="28" w:type="dxa"/>
            </w:tcMar>
            <w:vAlign w:val="top"/>
          </w:tcPr>
          <w:p w14:paraId="2CA3460C"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
                <w:bCs/>
                <w:sz w:val="11"/>
                <w:szCs w:val="11"/>
              </w:rPr>
            </w:pPr>
            <w:r w:rsidRPr="00A5217D">
              <w:rPr>
                <w:rFonts w:ascii="Wingdings" w:hAnsi="Wingdings"/>
                <w:color w:val="000000"/>
              </w:rPr>
              <w:t></w:t>
            </w:r>
          </w:p>
        </w:tc>
        <w:tc>
          <w:tcPr>
            <w:tcW w:w="713" w:type="dxa"/>
            <w:shd w:val="clear" w:color="auto" w:fill="D9D9D9" w:themeFill="background1" w:themeFillShade="D9"/>
            <w:tcMar>
              <w:top w:w="28" w:type="dxa"/>
              <w:left w:w="28" w:type="dxa"/>
              <w:bottom w:w="28" w:type="dxa"/>
              <w:right w:w="28" w:type="dxa"/>
            </w:tcMar>
            <w:vAlign w:val="top"/>
          </w:tcPr>
          <w:p w14:paraId="0EC2FB83"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sz w:val="11"/>
                <w:szCs w:val="11"/>
              </w:rPr>
            </w:pPr>
            <w:r w:rsidRPr="00A5217D">
              <w:rPr>
                <w:rFonts w:ascii="Wingdings" w:hAnsi="Wingdings"/>
                <w:color w:val="000000"/>
              </w:rPr>
              <w:t></w:t>
            </w:r>
          </w:p>
        </w:tc>
        <w:tc>
          <w:tcPr>
            <w:cnfStyle w:val="000100000000" w:firstRow="0" w:lastRow="0" w:firstColumn="0" w:lastColumn="1" w:oddVBand="0" w:evenVBand="0" w:oddHBand="0" w:evenHBand="0" w:firstRowFirstColumn="0" w:firstRowLastColumn="0" w:lastRowFirstColumn="0" w:lastRowLastColumn="0"/>
            <w:tcW w:w="730" w:type="dxa"/>
            <w:tcMar>
              <w:top w:w="28" w:type="dxa"/>
              <w:left w:w="28" w:type="dxa"/>
              <w:bottom w:w="28" w:type="dxa"/>
              <w:right w:w="28" w:type="dxa"/>
            </w:tcMar>
            <w:vAlign w:val="top"/>
          </w:tcPr>
          <w:p w14:paraId="693794CF" w14:textId="77777777" w:rsidR="009D18E1" w:rsidRPr="00E627EF" w:rsidRDefault="009D18E1" w:rsidP="009D18E1">
            <w:pPr>
              <w:jc w:val="left"/>
              <w:rPr>
                <w:b w:val="0"/>
                <w:sz w:val="11"/>
                <w:szCs w:val="11"/>
              </w:rPr>
            </w:pPr>
            <w:r w:rsidRPr="00A5217D">
              <w:rPr>
                <w:rFonts w:ascii="Wingdings" w:hAnsi="Wingdings"/>
                <w:color w:val="000000"/>
              </w:rPr>
              <w:t></w:t>
            </w:r>
          </w:p>
        </w:tc>
      </w:tr>
      <w:tr w:rsidR="009D18E1" w:rsidRPr="001F6EB9" w14:paraId="71DC6ADA" w14:textId="77777777" w:rsidTr="009D18E1">
        <w:trPr>
          <w:trHeight w:val="629"/>
        </w:trPr>
        <w:tc>
          <w:tcPr>
            <w:cnfStyle w:val="001000000000" w:firstRow="0" w:lastRow="0" w:firstColumn="1" w:lastColumn="0" w:oddVBand="0" w:evenVBand="0" w:oddHBand="0" w:evenHBand="0" w:firstRowFirstColumn="0" w:firstRowLastColumn="0" w:lastRowFirstColumn="0" w:lastRowLastColumn="0"/>
            <w:tcW w:w="1101" w:type="dxa"/>
            <w:gridSpan w:val="2"/>
            <w:shd w:val="clear" w:color="auto" w:fill="FFFFFF" w:themeFill="background1"/>
            <w:vAlign w:val="top"/>
          </w:tcPr>
          <w:p w14:paraId="13143DC0" w14:textId="77777777" w:rsidR="009D18E1" w:rsidRPr="00E627EF" w:rsidRDefault="009D18E1" w:rsidP="009D18E1">
            <w:pPr>
              <w:jc w:val="left"/>
              <w:rPr>
                <w:b w:val="0"/>
                <w:sz w:val="11"/>
                <w:szCs w:val="11"/>
              </w:rPr>
            </w:pPr>
            <w:r w:rsidRPr="00E627EF">
              <w:rPr>
                <w:b w:val="0"/>
                <w:sz w:val="11"/>
                <w:szCs w:val="11"/>
              </w:rPr>
              <w:t>Single Number Reach Mobility</w:t>
            </w:r>
          </w:p>
        </w:tc>
        <w:tc>
          <w:tcPr>
            <w:tcW w:w="545" w:type="dxa"/>
            <w:shd w:val="clear" w:color="auto" w:fill="FFFFFF" w:themeFill="background1"/>
            <w:tcMar>
              <w:top w:w="28" w:type="dxa"/>
              <w:left w:w="28" w:type="dxa"/>
              <w:bottom w:w="28" w:type="dxa"/>
              <w:right w:w="28" w:type="dxa"/>
            </w:tcMar>
            <w:vAlign w:val="top"/>
          </w:tcPr>
          <w:p w14:paraId="0A91AD52"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
                <w:bCs/>
                <w:sz w:val="11"/>
                <w:szCs w:val="11"/>
              </w:rPr>
            </w:pPr>
          </w:p>
        </w:tc>
        <w:tc>
          <w:tcPr>
            <w:tcW w:w="619" w:type="dxa"/>
            <w:shd w:val="clear" w:color="auto" w:fill="FFFFFF" w:themeFill="background1"/>
            <w:tcMar>
              <w:top w:w="28" w:type="dxa"/>
              <w:left w:w="28" w:type="dxa"/>
              <w:bottom w:w="28" w:type="dxa"/>
              <w:right w:w="28" w:type="dxa"/>
            </w:tcMar>
            <w:vAlign w:val="top"/>
          </w:tcPr>
          <w:p w14:paraId="11B2C99B"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
                <w:bCs/>
                <w:sz w:val="11"/>
                <w:szCs w:val="11"/>
              </w:rPr>
            </w:pPr>
            <w:r w:rsidRPr="00A5217D">
              <w:rPr>
                <w:rFonts w:ascii="Wingdings" w:hAnsi="Wingdings"/>
                <w:color w:val="000000"/>
              </w:rPr>
              <w:t></w:t>
            </w:r>
          </w:p>
        </w:tc>
        <w:tc>
          <w:tcPr>
            <w:tcW w:w="775" w:type="dxa"/>
            <w:shd w:val="clear" w:color="auto" w:fill="FFFFFF" w:themeFill="background1"/>
            <w:tcMar>
              <w:top w:w="28" w:type="dxa"/>
              <w:left w:w="28" w:type="dxa"/>
              <w:bottom w:w="28" w:type="dxa"/>
              <w:right w:w="28" w:type="dxa"/>
            </w:tcMar>
            <w:vAlign w:val="top"/>
          </w:tcPr>
          <w:p w14:paraId="12ECF63C"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
                <w:bCs/>
                <w:sz w:val="11"/>
                <w:szCs w:val="11"/>
              </w:rPr>
            </w:pPr>
            <w:r w:rsidRPr="00A5217D">
              <w:rPr>
                <w:rFonts w:ascii="Wingdings" w:hAnsi="Wingdings"/>
                <w:color w:val="000000"/>
              </w:rPr>
              <w:t></w:t>
            </w:r>
          </w:p>
        </w:tc>
        <w:tc>
          <w:tcPr>
            <w:tcW w:w="713" w:type="dxa"/>
            <w:shd w:val="clear" w:color="auto" w:fill="FFFFFF" w:themeFill="background1"/>
            <w:tcMar>
              <w:top w:w="28" w:type="dxa"/>
              <w:left w:w="28" w:type="dxa"/>
              <w:bottom w:w="28" w:type="dxa"/>
              <w:right w:w="28" w:type="dxa"/>
            </w:tcMar>
            <w:vAlign w:val="top"/>
          </w:tcPr>
          <w:p w14:paraId="27AF14BF"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sz w:val="11"/>
                <w:szCs w:val="11"/>
              </w:rPr>
            </w:pPr>
            <w:r w:rsidRPr="00A5217D">
              <w:rPr>
                <w:rFonts w:ascii="Wingdings" w:hAnsi="Wingdings"/>
                <w:color w:val="000000"/>
              </w:rPr>
              <w:t></w:t>
            </w:r>
          </w:p>
        </w:tc>
        <w:tc>
          <w:tcPr>
            <w:cnfStyle w:val="000100000000" w:firstRow="0" w:lastRow="0" w:firstColumn="0" w:lastColumn="1" w:oddVBand="0" w:evenVBand="0" w:oddHBand="0" w:evenHBand="0" w:firstRowFirstColumn="0" w:firstRowLastColumn="0" w:lastRowFirstColumn="0" w:lastRowLastColumn="0"/>
            <w:tcW w:w="730" w:type="dxa"/>
            <w:shd w:val="clear" w:color="auto" w:fill="FFFFFF" w:themeFill="background1"/>
            <w:tcMar>
              <w:top w:w="28" w:type="dxa"/>
              <w:left w:w="28" w:type="dxa"/>
              <w:bottom w:w="28" w:type="dxa"/>
              <w:right w:w="28" w:type="dxa"/>
            </w:tcMar>
            <w:vAlign w:val="top"/>
          </w:tcPr>
          <w:p w14:paraId="02BB98AA" w14:textId="77777777" w:rsidR="009D18E1" w:rsidRPr="00E627EF" w:rsidRDefault="009D18E1" w:rsidP="009D18E1">
            <w:pPr>
              <w:jc w:val="left"/>
              <w:rPr>
                <w:b w:val="0"/>
                <w:sz w:val="11"/>
                <w:szCs w:val="11"/>
              </w:rPr>
            </w:pPr>
            <w:r>
              <w:rPr>
                <w:b w:val="0"/>
                <w:sz w:val="11"/>
                <w:szCs w:val="11"/>
              </w:rPr>
              <w:t>Optional</w:t>
            </w:r>
          </w:p>
        </w:tc>
      </w:tr>
      <w:tr w:rsidR="009D18E1" w:rsidRPr="00EF2473" w14:paraId="335AEF23" w14:textId="77777777" w:rsidTr="009D18E1">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101" w:type="dxa"/>
            <w:gridSpan w:val="2"/>
            <w:shd w:val="clear" w:color="auto" w:fill="D9D9D9" w:themeFill="background1" w:themeFillShade="D9"/>
            <w:vAlign w:val="top"/>
          </w:tcPr>
          <w:p w14:paraId="2FFC16C6" w14:textId="77777777" w:rsidR="009D18E1" w:rsidRPr="00E627EF" w:rsidRDefault="009D18E1" w:rsidP="009D18E1">
            <w:pPr>
              <w:jc w:val="left"/>
              <w:rPr>
                <w:b w:val="0"/>
                <w:sz w:val="11"/>
                <w:szCs w:val="11"/>
              </w:rPr>
            </w:pPr>
            <w:r w:rsidRPr="00E627EF">
              <w:rPr>
                <w:b w:val="0"/>
                <w:sz w:val="11"/>
                <w:szCs w:val="11"/>
              </w:rPr>
              <w:t>Instant Messaging &amp; Presence (Cisco Jabber IM)</w:t>
            </w:r>
          </w:p>
        </w:tc>
        <w:tc>
          <w:tcPr>
            <w:tcW w:w="545" w:type="dxa"/>
            <w:shd w:val="clear" w:color="auto" w:fill="D9D9D9" w:themeFill="background1" w:themeFillShade="D9"/>
            <w:tcMar>
              <w:top w:w="28" w:type="dxa"/>
              <w:left w:w="28" w:type="dxa"/>
              <w:bottom w:w="28" w:type="dxa"/>
              <w:right w:w="28" w:type="dxa"/>
            </w:tcMar>
            <w:vAlign w:val="top"/>
          </w:tcPr>
          <w:p w14:paraId="750271C8"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Cs/>
                <w:sz w:val="11"/>
                <w:szCs w:val="11"/>
              </w:rPr>
            </w:pPr>
          </w:p>
        </w:tc>
        <w:tc>
          <w:tcPr>
            <w:tcW w:w="619" w:type="dxa"/>
            <w:shd w:val="clear" w:color="auto" w:fill="D9D9D9" w:themeFill="background1" w:themeFillShade="D9"/>
            <w:tcMar>
              <w:top w:w="28" w:type="dxa"/>
              <w:left w:w="28" w:type="dxa"/>
              <w:bottom w:w="28" w:type="dxa"/>
              <w:right w:w="28" w:type="dxa"/>
            </w:tcMar>
            <w:vAlign w:val="top"/>
          </w:tcPr>
          <w:p w14:paraId="79D40D46"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Cs/>
                <w:sz w:val="11"/>
                <w:szCs w:val="11"/>
              </w:rPr>
            </w:pPr>
            <w:r w:rsidRPr="00A5217D">
              <w:rPr>
                <w:rFonts w:ascii="Wingdings" w:hAnsi="Wingdings"/>
                <w:color w:val="000000"/>
              </w:rPr>
              <w:t></w:t>
            </w:r>
          </w:p>
        </w:tc>
        <w:tc>
          <w:tcPr>
            <w:tcW w:w="775" w:type="dxa"/>
            <w:shd w:val="clear" w:color="auto" w:fill="D9D9D9" w:themeFill="background1" w:themeFillShade="D9"/>
            <w:tcMar>
              <w:top w:w="28" w:type="dxa"/>
              <w:left w:w="28" w:type="dxa"/>
              <w:bottom w:w="28" w:type="dxa"/>
              <w:right w:w="28" w:type="dxa"/>
            </w:tcMar>
            <w:vAlign w:val="top"/>
          </w:tcPr>
          <w:p w14:paraId="570E2DF0"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Cs/>
                <w:sz w:val="11"/>
                <w:szCs w:val="11"/>
              </w:rPr>
            </w:pPr>
            <w:r w:rsidRPr="00A5217D">
              <w:rPr>
                <w:rFonts w:ascii="Wingdings" w:hAnsi="Wingdings"/>
                <w:color w:val="000000"/>
              </w:rPr>
              <w:t></w:t>
            </w:r>
          </w:p>
        </w:tc>
        <w:tc>
          <w:tcPr>
            <w:tcW w:w="713" w:type="dxa"/>
            <w:shd w:val="clear" w:color="auto" w:fill="D9D9D9" w:themeFill="background1" w:themeFillShade="D9"/>
            <w:tcMar>
              <w:top w:w="28" w:type="dxa"/>
              <w:left w:w="28" w:type="dxa"/>
              <w:bottom w:w="28" w:type="dxa"/>
              <w:right w:w="28" w:type="dxa"/>
            </w:tcMar>
            <w:vAlign w:val="top"/>
          </w:tcPr>
          <w:p w14:paraId="56054599"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
                <w:sz w:val="11"/>
                <w:szCs w:val="11"/>
              </w:rPr>
            </w:pPr>
            <w:r w:rsidRPr="00A5217D">
              <w:rPr>
                <w:rFonts w:ascii="Wingdings" w:hAnsi="Wingdings"/>
                <w:color w:val="000000"/>
              </w:rPr>
              <w:t></w:t>
            </w:r>
          </w:p>
        </w:tc>
        <w:tc>
          <w:tcPr>
            <w:cnfStyle w:val="000100000000" w:firstRow="0" w:lastRow="0" w:firstColumn="0" w:lastColumn="1" w:oddVBand="0" w:evenVBand="0" w:oddHBand="0" w:evenHBand="0" w:firstRowFirstColumn="0" w:firstRowLastColumn="0" w:lastRowFirstColumn="0" w:lastRowLastColumn="0"/>
            <w:tcW w:w="730" w:type="dxa"/>
            <w:shd w:val="clear" w:color="auto" w:fill="D9D9D9" w:themeFill="background1" w:themeFillShade="D9"/>
            <w:tcMar>
              <w:top w:w="28" w:type="dxa"/>
              <w:left w:w="28" w:type="dxa"/>
              <w:bottom w:w="28" w:type="dxa"/>
              <w:right w:w="28" w:type="dxa"/>
            </w:tcMar>
            <w:vAlign w:val="top"/>
          </w:tcPr>
          <w:p w14:paraId="234BF0A0" w14:textId="77777777" w:rsidR="009D18E1" w:rsidRPr="00E627EF" w:rsidRDefault="009D18E1" w:rsidP="009D18E1">
            <w:pPr>
              <w:jc w:val="left"/>
              <w:rPr>
                <w:b w:val="0"/>
                <w:sz w:val="11"/>
                <w:szCs w:val="11"/>
              </w:rPr>
            </w:pPr>
            <w:r>
              <w:rPr>
                <w:b w:val="0"/>
                <w:sz w:val="11"/>
                <w:szCs w:val="11"/>
              </w:rPr>
              <w:t>Optional</w:t>
            </w:r>
          </w:p>
        </w:tc>
      </w:tr>
      <w:tr w:rsidR="009D18E1" w:rsidRPr="00EF2473" w14:paraId="2E1AF10C" w14:textId="77777777" w:rsidTr="009D18E1">
        <w:trPr>
          <w:trHeight w:val="235"/>
        </w:trPr>
        <w:tc>
          <w:tcPr>
            <w:cnfStyle w:val="001000000000" w:firstRow="0" w:lastRow="0" w:firstColumn="1" w:lastColumn="0" w:oddVBand="0" w:evenVBand="0" w:oddHBand="0" w:evenHBand="0" w:firstRowFirstColumn="0" w:firstRowLastColumn="0" w:lastRowFirstColumn="0" w:lastRowLastColumn="0"/>
            <w:tcW w:w="1101" w:type="dxa"/>
            <w:gridSpan w:val="2"/>
            <w:shd w:val="clear" w:color="auto" w:fill="FFFFFF" w:themeFill="background1"/>
            <w:vAlign w:val="top"/>
          </w:tcPr>
          <w:p w14:paraId="4294D05B" w14:textId="77777777" w:rsidR="009D18E1" w:rsidRPr="00E627EF" w:rsidRDefault="009D18E1" w:rsidP="009D18E1">
            <w:pPr>
              <w:jc w:val="left"/>
              <w:rPr>
                <w:b w:val="0"/>
                <w:sz w:val="11"/>
                <w:szCs w:val="11"/>
              </w:rPr>
            </w:pPr>
            <w:r>
              <w:rPr>
                <w:b w:val="0"/>
                <w:sz w:val="11"/>
                <w:szCs w:val="11"/>
              </w:rPr>
              <w:t>Desktop Video</w:t>
            </w:r>
          </w:p>
        </w:tc>
        <w:tc>
          <w:tcPr>
            <w:tcW w:w="545" w:type="dxa"/>
            <w:shd w:val="clear" w:color="auto" w:fill="FFFFFF" w:themeFill="background1"/>
            <w:tcMar>
              <w:top w:w="28" w:type="dxa"/>
              <w:left w:w="28" w:type="dxa"/>
              <w:bottom w:w="28" w:type="dxa"/>
              <w:right w:w="28" w:type="dxa"/>
            </w:tcMar>
            <w:vAlign w:val="top"/>
          </w:tcPr>
          <w:p w14:paraId="620A0734"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Cs/>
                <w:sz w:val="11"/>
                <w:szCs w:val="11"/>
              </w:rPr>
            </w:pPr>
          </w:p>
        </w:tc>
        <w:tc>
          <w:tcPr>
            <w:tcW w:w="619" w:type="dxa"/>
            <w:shd w:val="clear" w:color="auto" w:fill="FFFFFF" w:themeFill="background1"/>
            <w:tcMar>
              <w:top w:w="28" w:type="dxa"/>
              <w:left w:w="28" w:type="dxa"/>
              <w:bottom w:w="28" w:type="dxa"/>
              <w:right w:w="28" w:type="dxa"/>
            </w:tcMar>
            <w:vAlign w:val="top"/>
          </w:tcPr>
          <w:p w14:paraId="35C32F0E"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Cs/>
                <w:sz w:val="11"/>
                <w:szCs w:val="11"/>
              </w:rPr>
            </w:pPr>
          </w:p>
        </w:tc>
        <w:tc>
          <w:tcPr>
            <w:tcW w:w="775" w:type="dxa"/>
            <w:shd w:val="clear" w:color="auto" w:fill="FFFFFF" w:themeFill="background1"/>
            <w:tcMar>
              <w:top w:w="28" w:type="dxa"/>
              <w:left w:w="28" w:type="dxa"/>
              <w:bottom w:w="28" w:type="dxa"/>
              <w:right w:w="28" w:type="dxa"/>
            </w:tcMar>
            <w:vAlign w:val="top"/>
          </w:tcPr>
          <w:p w14:paraId="1BF10BC6"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Cs/>
                <w:sz w:val="11"/>
                <w:szCs w:val="11"/>
              </w:rPr>
            </w:pPr>
            <w:r w:rsidRPr="00A5217D">
              <w:rPr>
                <w:rFonts w:ascii="Wingdings" w:hAnsi="Wingdings"/>
                <w:color w:val="000000"/>
              </w:rPr>
              <w:t></w:t>
            </w:r>
          </w:p>
        </w:tc>
        <w:tc>
          <w:tcPr>
            <w:tcW w:w="713" w:type="dxa"/>
            <w:shd w:val="clear" w:color="auto" w:fill="FFFFFF" w:themeFill="background1"/>
            <w:tcMar>
              <w:top w:w="28" w:type="dxa"/>
              <w:left w:w="28" w:type="dxa"/>
              <w:bottom w:w="28" w:type="dxa"/>
              <w:right w:w="28" w:type="dxa"/>
            </w:tcMar>
            <w:vAlign w:val="top"/>
          </w:tcPr>
          <w:p w14:paraId="095D5CB0" w14:textId="77777777" w:rsidR="009D18E1" w:rsidRPr="00E627EF" w:rsidRDefault="009D18E1" w:rsidP="009D18E1">
            <w:pPr>
              <w:jc w:val="left"/>
              <w:cnfStyle w:val="000000000000" w:firstRow="0" w:lastRow="0" w:firstColumn="0" w:lastColumn="0" w:oddVBand="0" w:evenVBand="0" w:oddHBand="0" w:evenHBand="0" w:firstRowFirstColumn="0" w:firstRowLastColumn="0" w:lastRowFirstColumn="0" w:lastRowLastColumn="0"/>
              <w:rPr>
                <w:b/>
                <w:sz w:val="11"/>
                <w:szCs w:val="11"/>
              </w:rPr>
            </w:pPr>
            <w:r w:rsidRPr="00A5217D">
              <w:rPr>
                <w:rFonts w:ascii="Wingdings" w:hAnsi="Wingdings"/>
                <w:color w:val="000000"/>
              </w:rPr>
              <w:t></w:t>
            </w:r>
          </w:p>
        </w:tc>
        <w:tc>
          <w:tcPr>
            <w:cnfStyle w:val="000100000000" w:firstRow="0" w:lastRow="0" w:firstColumn="0" w:lastColumn="1" w:oddVBand="0" w:evenVBand="0" w:oddHBand="0" w:evenHBand="0" w:firstRowFirstColumn="0" w:firstRowLastColumn="0" w:lastRowFirstColumn="0" w:lastRowLastColumn="0"/>
            <w:tcW w:w="730" w:type="dxa"/>
            <w:shd w:val="clear" w:color="auto" w:fill="FFFFFF" w:themeFill="background1"/>
            <w:tcMar>
              <w:top w:w="28" w:type="dxa"/>
              <w:left w:w="28" w:type="dxa"/>
              <w:bottom w:w="28" w:type="dxa"/>
              <w:right w:w="28" w:type="dxa"/>
            </w:tcMar>
            <w:vAlign w:val="top"/>
          </w:tcPr>
          <w:p w14:paraId="5DB9706D" w14:textId="77777777" w:rsidR="009D18E1" w:rsidRPr="00E627EF" w:rsidRDefault="009D18E1" w:rsidP="009D18E1">
            <w:pPr>
              <w:jc w:val="left"/>
              <w:rPr>
                <w:b w:val="0"/>
                <w:sz w:val="11"/>
                <w:szCs w:val="11"/>
              </w:rPr>
            </w:pPr>
            <w:r>
              <w:rPr>
                <w:b w:val="0"/>
                <w:sz w:val="11"/>
                <w:szCs w:val="11"/>
              </w:rPr>
              <w:t>Optional</w:t>
            </w:r>
          </w:p>
        </w:tc>
      </w:tr>
      <w:tr w:rsidR="009D18E1" w:rsidRPr="00EF2473" w14:paraId="7FC81EB9" w14:textId="77777777" w:rsidTr="009D18E1">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101" w:type="dxa"/>
            <w:gridSpan w:val="2"/>
            <w:shd w:val="clear" w:color="auto" w:fill="D9D9D9" w:themeFill="background1" w:themeFillShade="D9"/>
            <w:vAlign w:val="top"/>
          </w:tcPr>
          <w:p w14:paraId="5A9E1EF7" w14:textId="77777777" w:rsidR="009D18E1" w:rsidRPr="00E627EF" w:rsidRDefault="009D18E1" w:rsidP="009D18E1">
            <w:pPr>
              <w:jc w:val="left"/>
              <w:rPr>
                <w:b w:val="0"/>
                <w:sz w:val="11"/>
                <w:szCs w:val="11"/>
              </w:rPr>
            </w:pPr>
            <w:r>
              <w:rPr>
                <w:b w:val="0"/>
                <w:sz w:val="11"/>
                <w:szCs w:val="11"/>
              </w:rPr>
              <w:t>Voice Mail &amp; Integrated Messaging</w:t>
            </w:r>
          </w:p>
        </w:tc>
        <w:tc>
          <w:tcPr>
            <w:tcW w:w="545" w:type="dxa"/>
            <w:shd w:val="clear" w:color="auto" w:fill="D9D9D9" w:themeFill="background1" w:themeFillShade="D9"/>
            <w:tcMar>
              <w:top w:w="28" w:type="dxa"/>
              <w:left w:w="28" w:type="dxa"/>
              <w:bottom w:w="28" w:type="dxa"/>
              <w:right w:w="28" w:type="dxa"/>
            </w:tcMar>
            <w:vAlign w:val="top"/>
          </w:tcPr>
          <w:p w14:paraId="7F16E01D"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Cs/>
                <w:sz w:val="11"/>
                <w:szCs w:val="11"/>
              </w:rPr>
            </w:pPr>
          </w:p>
        </w:tc>
        <w:tc>
          <w:tcPr>
            <w:tcW w:w="619" w:type="dxa"/>
            <w:shd w:val="clear" w:color="auto" w:fill="D9D9D9" w:themeFill="background1" w:themeFillShade="D9"/>
            <w:tcMar>
              <w:top w:w="28" w:type="dxa"/>
              <w:left w:w="28" w:type="dxa"/>
              <w:bottom w:w="28" w:type="dxa"/>
              <w:right w:w="28" w:type="dxa"/>
            </w:tcMar>
            <w:vAlign w:val="top"/>
          </w:tcPr>
          <w:p w14:paraId="2BA0B870"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Cs/>
                <w:sz w:val="11"/>
                <w:szCs w:val="11"/>
              </w:rPr>
            </w:pPr>
            <w:r>
              <w:rPr>
                <w:b/>
                <w:sz w:val="11"/>
                <w:szCs w:val="11"/>
              </w:rPr>
              <w:t>Optional</w:t>
            </w:r>
          </w:p>
        </w:tc>
        <w:tc>
          <w:tcPr>
            <w:tcW w:w="775" w:type="dxa"/>
            <w:shd w:val="clear" w:color="auto" w:fill="D9D9D9" w:themeFill="background1" w:themeFillShade="D9"/>
            <w:tcMar>
              <w:top w:w="28" w:type="dxa"/>
              <w:left w:w="28" w:type="dxa"/>
              <w:bottom w:w="28" w:type="dxa"/>
              <w:right w:w="28" w:type="dxa"/>
            </w:tcMar>
            <w:vAlign w:val="top"/>
          </w:tcPr>
          <w:p w14:paraId="4FD07CEC"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Cs/>
                <w:sz w:val="11"/>
                <w:szCs w:val="11"/>
              </w:rPr>
            </w:pPr>
            <w:r>
              <w:rPr>
                <w:b/>
                <w:sz w:val="11"/>
                <w:szCs w:val="11"/>
              </w:rPr>
              <w:t>Optional</w:t>
            </w:r>
          </w:p>
        </w:tc>
        <w:tc>
          <w:tcPr>
            <w:tcW w:w="713" w:type="dxa"/>
            <w:shd w:val="clear" w:color="auto" w:fill="D9D9D9" w:themeFill="background1" w:themeFillShade="D9"/>
            <w:tcMar>
              <w:top w:w="28" w:type="dxa"/>
              <w:left w:w="28" w:type="dxa"/>
              <w:bottom w:w="28" w:type="dxa"/>
              <w:right w:w="28" w:type="dxa"/>
            </w:tcMar>
            <w:vAlign w:val="top"/>
          </w:tcPr>
          <w:p w14:paraId="0C555A94" w14:textId="77777777" w:rsidR="009D18E1" w:rsidRPr="00E627EF" w:rsidRDefault="009D18E1" w:rsidP="009D18E1">
            <w:pPr>
              <w:jc w:val="left"/>
              <w:cnfStyle w:val="000000010000" w:firstRow="0" w:lastRow="0" w:firstColumn="0" w:lastColumn="0" w:oddVBand="0" w:evenVBand="0" w:oddHBand="0" w:evenHBand="1" w:firstRowFirstColumn="0" w:firstRowLastColumn="0" w:lastRowFirstColumn="0" w:lastRowLastColumn="0"/>
              <w:rPr>
                <w:b/>
                <w:sz w:val="11"/>
                <w:szCs w:val="11"/>
              </w:rPr>
            </w:pPr>
            <w:r w:rsidRPr="00A5217D">
              <w:rPr>
                <w:rFonts w:ascii="Wingdings" w:hAnsi="Wingdings"/>
                <w:color w:val="000000"/>
              </w:rPr>
              <w:t></w:t>
            </w:r>
          </w:p>
        </w:tc>
        <w:tc>
          <w:tcPr>
            <w:cnfStyle w:val="000100000000" w:firstRow="0" w:lastRow="0" w:firstColumn="0" w:lastColumn="1" w:oddVBand="0" w:evenVBand="0" w:oddHBand="0" w:evenHBand="0" w:firstRowFirstColumn="0" w:firstRowLastColumn="0" w:lastRowFirstColumn="0" w:lastRowLastColumn="0"/>
            <w:tcW w:w="730" w:type="dxa"/>
            <w:shd w:val="clear" w:color="auto" w:fill="D9D9D9" w:themeFill="background1" w:themeFillShade="D9"/>
            <w:tcMar>
              <w:top w:w="28" w:type="dxa"/>
              <w:left w:w="28" w:type="dxa"/>
              <w:bottom w:w="28" w:type="dxa"/>
              <w:right w:w="28" w:type="dxa"/>
            </w:tcMar>
            <w:vAlign w:val="top"/>
          </w:tcPr>
          <w:p w14:paraId="4180A85F" w14:textId="77777777" w:rsidR="009D18E1" w:rsidRPr="00E627EF" w:rsidRDefault="009D18E1" w:rsidP="009D18E1">
            <w:pPr>
              <w:jc w:val="left"/>
              <w:rPr>
                <w:b w:val="0"/>
                <w:sz w:val="11"/>
                <w:szCs w:val="11"/>
              </w:rPr>
            </w:pPr>
            <w:r>
              <w:rPr>
                <w:b w:val="0"/>
                <w:sz w:val="11"/>
                <w:szCs w:val="11"/>
              </w:rPr>
              <w:t>Optional</w:t>
            </w:r>
          </w:p>
        </w:tc>
      </w:tr>
      <w:tr w:rsidR="009D18E1" w:rsidRPr="00EF2473" w14:paraId="624EFE7A" w14:textId="77777777" w:rsidTr="009D18E1">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dxa"/>
            <w:gridSpan w:val="2"/>
            <w:shd w:val="clear" w:color="auto" w:fill="FFFFFF" w:themeFill="background1"/>
            <w:vAlign w:val="top"/>
          </w:tcPr>
          <w:p w14:paraId="3B4F93B9" w14:textId="77777777" w:rsidR="009D18E1" w:rsidRPr="00E627EF" w:rsidRDefault="009D18E1" w:rsidP="009D18E1">
            <w:pPr>
              <w:jc w:val="left"/>
              <w:rPr>
                <w:b w:val="0"/>
                <w:sz w:val="11"/>
                <w:szCs w:val="11"/>
              </w:rPr>
            </w:pPr>
            <w:r>
              <w:rPr>
                <w:b w:val="0"/>
                <w:sz w:val="11"/>
                <w:szCs w:val="11"/>
              </w:rPr>
              <w:t>Number of Devices</w:t>
            </w:r>
          </w:p>
        </w:tc>
        <w:tc>
          <w:tcPr>
            <w:tcW w:w="545" w:type="dxa"/>
            <w:shd w:val="clear" w:color="auto" w:fill="FFFFFF" w:themeFill="background1"/>
            <w:tcMar>
              <w:top w:w="28" w:type="dxa"/>
              <w:left w:w="28" w:type="dxa"/>
              <w:bottom w:w="28" w:type="dxa"/>
              <w:right w:w="28" w:type="dxa"/>
            </w:tcMar>
            <w:vAlign w:val="top"/>
          </w:tcPr>
          <w:p w14:paraId="76E2E510" w14:textId="77777777" w:rsidR="009D18E1" w:rsidRPr="00E627EF" w:rsidRDefault="009D18E1" w:rsidP="009D18E1">
            <w:pPr>
              <w:jc w:val="left"/>
              <w:cnfStyle w:val="010000000000" w:firstRow="0" w:lastRow="1" w:firstColumn="0" w:lastColumn="0" w:oddVBand="0" w:evenVBand="0" w:oddHBand="0" w:evenHBand="0" w:firstRowFirstColumn="0" w:firstRowLastColumn="0" w:lastRowFirstColumn="0" w:lastRowLastColumn="0"/>
              <w:rPr>
                <w:bCs w:val="0"/>
                <w:sz w:val="11"/>
                <w:szCs w:val="11"/>
              </w:rPr>
            </w:pPr>
            <w:r>
              <w:rPr>
                <w:bCs w:val="0"/>
                <w:sz w:val="11"/>
                <w:szCs w:val="11"/>
              </w:rPr>
              <w:t>1</w:t>
            </w:r>
          </w:p>
        </w:tc>
        <w:tc>
          <w:tcPr>
            <w:tcW w:w="619" w:type="dxa"/>
            <w:shd w:val="clear" w:color="auto" w:fill="FFFFFF" w:themeFill="background1"/>
            <w:tcMar>
              <w:top w:w="28" w:type="dxa"/>
              <w:left w:w="28" w:type="dxa"/>
              <w:bottom w:w="28" w:type="dxa"/>
              <w:right w:w="28" w:type="dxa"/>
            </w:tcMar>
            <w:vAlign w:val="top"/>
          </w:tcPr>
          <w:p w14:paraId="797A943D" w14:textId="77777777" w:rsidR="009D18E1" w:rsidRPr="00E627EF" w:rsidRDefault="009D18E1" w:rsidP="009D18E1">
            <w:pPr>
              <w:jc w:val="left"/>
              <w:cnfStyle w:val="010000000000" w:firstRow="0" w:lastRow="1" w:firstColumn="0" w:lastColumn="0" w:oddVBand="0" w:evenVBand="0" w:oddHBand="0" w:evenHBand="0" w:firstRowFirstColumn="0" w:firstRowLastColumn="0" w:lastRowFirstColumn="0" w:lastRowLastColumn="0"/>
              <w:rPr>
                <w:bCs w:val="0"/>
                <w:sz w:val="11"/>
                <w:szCs w:val="11"/>
              </w:rPr>
            </w:pPr>
            <w:r>
              <w:rPr>
                <w:bCs w:val="0"/>
                <w:sz w:val="11"/>
                <w:szCs w:val="11"/>
              </w:rPr>
              <w:t>1</w:t>
            </w:r>
          </w:p>
        </w:tc>
        <w:tc>
          <w:tcPr>
            <w:tcW w:w="775" w:type="dxa"/>
            <w:shd w:val="clear" w:color="auto" w:fill="FFFFFF" w:themeFill="background1"/>
            <w:tcMar>
              <w:top w:w="28" w:type="dxa"/>
              <w:left w:w="28" w:type="dxa"/>
              <w:bottom w:w="28" w:type="dxa"/>
              <w:right w:w="28" w:type="dxa"/>
            </w:tcMar>
            <w:vAlign w:val="top"/>
          </w:tcPr>
          <w:p w14:paraId="6E95EB0F" w14:textId="77777777" w:rsidR="009D18E1" w:rsidRPr="00E627EF" w:rsidRDefault="009D18E1" w:rsidP="009D18E1">
            <w:pPr>
              <w:jc w:val="left"/>
              <w:cnfStyle w:val="010000000000" w:firstRow="0" w:lastRow="1" w:firstColumn="0" w:lastColumn="0" w:oddVBand="0" w:evenVBand="0" w:oddHBand="0" w:evenHBand="0" w:firstRowFirstColumn="0" w:firstRowLastColumn="0" w:lastRowFirstColumn="0" w:lastRowLastColumn="0"/>
              <w:rPr>
                <w:bCs w:val="0"/>
                <w:sz w:val="11"/>
                <w:szCs w:val="11"/>
              </w:rPr>
            </w:pPr>
            <w:r>
              <w:rPr>
                <w:bCs w:val="0"/>
                <w:sz w:val="11"/>
                <w:szCs w:val="11"/>
              </w:rPr>
              <w:t>1</w:t>
            </w:r>
          </w:p>
        </w:tc>
        <w:tc>
          <w:tcPr>
            <w:tcW w:w="713" w:type="dxa"/>
            <w:shd w:val="clear" w:color="auto" w:fill="FFFFFF" w:themeFill="background1"/>
            <w:tcMar>
              <w:top w:w="28" w:type="dxa"/>
              <w:left w:w="28" w:type="dxa"/>
              <w:bottom w:w="28" w:type="dxa"/>
              <w:right w:w="28" w:type="dxa"/>
            </w:tcMar>
            <w:vAlign w:val="top"/>
          </w:tcPr>
          <w:p w14:paraId="086784E1" w14:textId="77777777" w:rsidR="009D18E1" w:rsidRPr="00E627EF" w:rsidRDefault="009D18E1" w:rsidP="009D18E1">
            <w:pPr>
              <w:jc w:val="left"/>
              <w:cnfStyle w:val="010000000000" w:firstRow="0" w:lastRow="1" w:firstColumn="0" w:lastColumn="0" w:oddVBand="0" w:evenVBand="0" w:oddHBand="0" w:evenHBand="0" w:firstRowFirstColumn="0" w:firstRowLastColumn="0" w:lastRowFirstColumn="0" w:lastRowLastColumn="0"/>
              <w:rPr>
                <w:b w:val="0"/>
                <w:sz w:val="11"/>
                <w:szCs w:val="11"/>
              </w:rPr>
            </w:pPr>
            <w:r>
              <w:rPr>
                <w:b w:val="0"/>
                <w:sz w:val="11"/>
                <w:szCs w:val="11"/>
              </w:rPr>
              <w:t>10</w:t>
            </w:r>
          </w:p>
        </w:tc>
        <w:tc>
          <w:tcPr>
            <w:cnfStyle w:val="000100000000" w:firstRow="0" w:lastRow="0" w:firstColumn="0" w:lastColumn="1" w:oddVBand="0" w:evenVBand="0" w:oddHBand="0" w:evenHBand="0" w:firstRowFirstColumn="0" w:firstRowLastColumn="0" w:lastRowFirstColumn="0" w:lastRowLastColumn="0"/>
            <w:tcW w:w="730" w:type="dxa"/>
            <w:shd w:val="clear" w:color="auto" w:fill="FFFFFF" w:themeFill="background1"/>
            <w:tcMar>
              <w:top w:w="28" w:type="dxa"/>
              <w:left w:w="28" w:type="dxa"/>
              <w:bottom w:w="28" w:type="dxa"/>
              <w:right w:w="28" w:type="dxa"/>
            </w:tcMar>
            <w:vAlign w:val="top"/>
          </w:tcPr>
          <w:p w14:paraId="06616AE8" w14:textId="77777777" w:rsidR="009D18E1" w:rsidRPr="00E627EF" w:rsidRDefault="009D18E1" w:rsidP="009D18E1">
            <w:pPr>
              <w:jc w:val="left"/>
              <w:rPr>
                <w:b w:val="0"/>
                <w:sz w:val="11"/>
                <w:szCs w:val="11"/>
              </w:rPr>
            </w:pPr>
            <w:r>
              <w:rPr>
                <w:b w:val="0"/>
                <w:sz w:val="11"/>
                <w:szCs w:val="11"/>
              </w:rPr>
              <w:t>Optional</w:t>
            </w:r>
          </w:p>
        </w:tc>
      </w:tr>
    </w:tbl>
    <w:p w14:paraId="347927EF" w14:textId="1E1BFDD2" w:rsidR="009D18E1" w:rsidRDefault="009D18E1" w:rsidP="002C088B">
      <w:pPr>
        <w:rPr>
          <w:rFonts w:cs="Arial"/>
          <w:color w:val="434343"/>
        </w:rPr>
      </w:pPr>
    </w:p>
    <w:p w14:paraId="372F1A6B" w14:textId="7EBCA7BA" w:rsidR="002C088B" w:rsidRPr="008131A2" w:rsidRDefault="002C088B" w:rsidP="002C088B">
      <w:pPr>
        <w:rPr>
          <w:rFonts w:cs="Arial"/>
          <w:color w:val="434343"/>
          <w:sz w:val="10"/>
          <w:szCs w:val="10"/>
        </w:rPr>
      </w:pPr>
      <w:r>
        <w:rPr>
          <w:rFonts w:cs="Arial"/>
          <w:color w:val="434343"/>
        </w:rPr>
        <w:br w:type="column"/>
      </w:r>
    </w:p>
    <w:p w14:paraId="77B4061E" w14:textId="77777777" w:rsidR="002C088B" w:rsidRPr="004B6571" w:rsidRDefault="002C088B" w:rsidP="00BA014F">
      <w:pPr>
        <w:pStyle w:val="Heading3"/>
        <w:rPr>
          <w:bCs/>
        </w:rPr>
      </w:pPr>
      <w:r w:rsidRPr="00180DAC">
        <w:t>Service installation and provisioning</w:t>
      </w:r>
    </w:p>
    <w:p w14:paraId="505BB232" w14:textId="77777777" w:rsidR="002C088B" w:rsidRPr="00EF2473" w:rsidRDefault="002C088B" w:rsidP="002C088B">
      <w:r w:rsidRPr="00E4044F">
        <w:t xml:space="preserve">Node4 agree to use reasonable endeavours to install and provide the Service within the timeframes defined in the Order Form. </w:t>
      </w:r>
      <w:r w:rsidRPr="00F0721B">
        <w:t>Node4 commit to notify the Customer in the event of any</w:t>
      </w:r>
      <w:r w:rsidRPr="00EF2473">
        <w:t xml:space="preserve"> delays in providing the Service. </w:t>
      </w:r>
    </w:p>
    <w:p w14:paraId="68D00765" w14:textId="77777777" w:rsidR="002C088B" w:rsidRDefault="002C088B" w:rsidP="00BA014F">
      <w:pPr>
        <w:pStyle w:val="Heading3"/>
      </w:pPr>
      <w:r>
        <w:t xml:space="preserve">Voice </w:t>
      </w:r>
    </w:p>
    <w:p w14:paraId="0FB8A8BA" w14:textId="77777777" w:rsidR="002C088B" w:rsidRDefault="002C088B" w:rsidP="002C088B">
      <w:pPr>
        <w:rPr>
          <w:rFonts w:cs="Arial"/>
          <w:lang w:val="en-US"/>
        </w:rPr>
      </w:pPr>
      <w:r>
        <w:rPr>
          <w:rFonts w:cs="Arial"/>
          <w:lang w:val="en-US"/>
        </w:rPr>
        <w:t>T</w:t>
      </w:r>
      <w:r w:rsidRPr="00304C61">
        <w:rPr>
          <w:rFonts w:cs="Arial"/>
          <w:lang w:val="en-US"/>
        </w:rPr>
        <w:t xml:space="preserve">he perfect solution </w:t>
      </w:r>
      <w:r>
        <w:rPr>
          <w:rFonts w:cs="Arial"/>
          <w:lang w:val="en-US"/>
        </w:rPr>
        <w:t xml:space="preserve">with the flexibility and </w:t>
      </w:r>
      <w:r w:rsidRPr="00304C61">
        <w:rPr>
          <w:rFonts w:cs="Arial"/>
          <w:lang w:val="en-US"/>
        </w:rPr>
        <w:t xml:space="preserve">convenience of having </w:t>
      </w:r>
      <w:r>
        <w:rPr>
          <w:rFonts w:cs="Arial"/>
          <w:lang w:val="en-US"/>
        </w:rPr>
        <w:t xml:space="preserve">a choice of using physical hardware (phones) or using </w:t>
      </w:r>
      <w:r w:rsidRPr="00304C61">
        <w:rPr>
          <w:rFonts w:cs="Arial"/>
          <w:lang w:val="en-US"/>
        </w:rPr>
        <w:t>computers</w:t>
      </w:r>
      <w:r>
        <w:rPr>
          <w:rFonts w:cs="Arial"/>
          <w:lang w:val="en-US"/>
        </w:rPr>
        <w:t xml:space="preserve"> or mobile devices (softphones) </w:t>
      </w:r>
      <w:r w:rsidRPr="00304C61">
        <w:rPr>
          <w:rFonts w:cs="Arial"/>
          <w:lang w:val="en-US"/>
        </w:rPr>
        <w:t xml:space="preserve"> </w:t>
      </w:r>
      <w:r>
        <w:rPr>
          <w:rFonts w:cs="Arial"/>
          <w:lang w:val="en-US"/>
        </w:rPr>
        <w:t>to serve as their office telephone.</w:t>
      </w:r>
    </w:p>
    <w:p w14:paraId="3A2DA4CA" w14:textId="77777777" w:rsidR="002C088B" w:rsidRDefault="002C088B" w:rsidP="00BA014F">
      <w:pPr>
        <w:pStyle w:val="Heading3"/>
      </w:pPr>
      <w:r>
        <w:t>Telepresence (Video)</w:t>
      </w:r>
    </w:p>
    <w:p w14:paraId="04179C39" w14:textId="77777777" w:rsidR="002C088B" w:rsidRPr="007676A0" w:rsidRDefault="002C088B" w:rsidP="002C088B">
      <w:r>
        <w:t>If specified on the Order Form, t</w:t>
      </w:r>
      <w:r>
        <w:rPr>
          <w:rFonts w:cs="Arial"/>
        </w:rPr>
        <w:t>he ability to connect point to point, and multi-party video sessions seamlessly from any video device connected to the Hosted Unified Communications platform.   These devices can be dedicated room-based systems, personal video systems, telephone handsets (with embedded cameras) or softphone applications.</w:t>
      </w:r>
    </w:p>
    <w:p w14:paraId="18D0EB16" w14:textId="655EC5F9" w:rsidR="002C088B" w:rsidRDefault="002C088B" w:rsidP="00BA014F">
      <w:pPr>
        <w:pStyle w:val="Heading3"/>
      </w:pPr>
      <w:r>
        <w:t xml:space="preserve">Instant </w:t>
      </w:r>
      <w:r w:rsidR="00BA014F">
        <w:t>m</w:t>
      </w:r>
      <w:r>
        <w:t xml:space="preserve">essaging and </w:t>
      </w:r>
      <w:r w:rsidR="00BA014F">
        <w:t>p</w:t>
      </w:r>
      <w:r>
        <w:t>resence (IM&amp;P)</w:t>
      </w:r>
    </w:p>
    <w:p w14:paraId="21D75D32" w14:textId="77777777" w:rsidR="002C088B" w:rsidRPr="00923276" w:rsidRDefault="002C088B" w:rsidP="002C088B">
      <w:r>
        <w:t>If specified on the Order Form, p</w:t>
      </w:r>
      <w:r w:rsidRPr="00304C61">
        <w:rPr>
          <w:rFonts w:cs="Arial"/>
        </w:rPr>
        <w:t>rovides secure Instant Messaging capabilities</w:t>
      </w:r>
      <w:r>
        <w:rPr>
          <w:rFonts w:cs="Arial"/>
        </w:rPr>
        <w:t xml:space="preserve">, with </w:t>
      </w:r>
      <w:r w:rsidRPr="00304C61">
        <w:rPr>
          <w:rFonts w:cs="Arial"/>
        </w:rPr>
        <w:t xml:space="preserve">messages automatically recorded and archived for future reference. </w:t>
      </w:r>
      <w:r>
        <w:rPr>
          <w:rFonts w:cs="Arial"/>
        </w:rPr>
        <w:t xml:space="preserve"> Users can determine the Presence state (eg. busy, in a meeting, etc.) of other users, allowing them to make decisions regarding the best method of communication.</w:t>
      </w:r>
    </w:p>
    <w:p w14:paraId="5E1F1576" w14:textId="77777777" w:rsidR="002C088B" w:rsidRDefault="002C088B" w:rsidP="00BA014F">
      <w:pPr>
        <w:pStyle w:val="Heading3"/>
      </w:pPr>
      <w:r>
        <w:t>Mobility</w:t>
      </w:r>
    </w:p>
    <w:p w14:paraId="698748F3" w14:textId="77777777" w:rsidR="002C088B" w:rsidRDefault="002C088B" w:rsidP="002C088B">
      <w:r>
        <w:t xml:space="preserve">If specified on the Order Form, </w:t>
      </w:r>
      <w:r w:rsidRPr="006A7C5B">
        <w:t>Mobility Services</w:t>
      </w:r>
      <w:r>
        <w:t xml:space="preserve"> include </w:t>
      </w:r>
      <w:r w:rsidRPr="006A7C5B">
        <w:t>enhanced user mobility to enable your workers to stay connected and productive from any location. By using client</w:t>
      </w:r>
      <w:r>
        <w:t xml:space="preserve"> software it is possible</w:t>
      </w:r>
      <w:r w:rsidRPr="006A7C5B">
        <w:t xml:space="preserve"> </w:t>
      </w:r>
      <w:r>
        <w:t xml:space="preserve">to turn a third-party </w:t>
      </w:r>
      <w:r w:rsidRPr="006A7C5B">
        <w:t>smartphone into a virtual business telephone, allowing travellers and telecommuters to take their phone extensions with them to other locations</w:t>
      </w:r>
    </w:p>
    <w:p w14:paraId="06068080" w14:textId="77777777" w:rsidR="002C088B" w:rsidRDefault="002C088B" w:rsidP="00BA014F">
      <w:pPr>
        <w:pStyle w:val="Heading3"/>
      </w:pPr>
      <w:r>
        <w:t>Conferencing</w:t>
      </w:r>
    </w:p>
    <w:p w14:paraId="427C6965" w14:textId="77777777" w:rsidR="002C088B" w:rsidRDefault="002C088B" w:rsidP="002C088B">
      <w:r>
        <w:t xml:space="preserve">If specified on the Order Form, </w:t>
      </w:r>
      <w:r w:rsidRPr="006A7C5B">
        <w:t>Ad-hoc conferencing</w:t>
      </w:r>
      <w:r>
        <w:t xml:space="preserve"> to pr</w:t>
      </w:r>
      <w:r w:rsidRPr="006A7C5B">
        <w:t xml:space="preserve">ovides a comprehensive voice, video and web collaboration tool that is fully integrated. </w:t>
      </w:r>
    </w:p>
    <w:p w14:paraId="39E418B1" w14:textId="77777777" w:rsidR="002C088B" w:rsidRPr="007676A0" w:rsidRDefault="002C088B" w:rsidP="002C088B">
      <w:pPr>
        <w:rPr>
          <w:rFonts w:cs="Arial"/>
        </w:rPr>
      </w:pPr>
      <w:r>
        <w:rPr>
          <w:rFonts w:cs="Arial"/>
        </w:rPr>
        <w:lastRenderedPageBreak/>
        <w:t xml:space="preserve">Includes the ability </w:t>
      </w:r>
      <w:r w:rsidRPr="007676A0">
        <w:rPr>
          <w:rFonts w:cs="Arial"/>
        </w:rPr>
        <w:t>to create, launch &amp; join meetings using video endpoints</w:t>
      </w:r>
      <w:r>
        <w:rPr>
          <w:rFonts w:cs="Arial"/>
        </w:rPr>
        <w:t xml:space="preserve"> directly from the collaborate tool.</w:t>
      </w:r>
    </w:p>
    <w:p w14:paraId="7E93FF56" w14:textId="6A2D2AEC" w:rsidR="002C088B" w:rsidRDefault="002C088B" w:rsidP="00BA014F">
      <w:pPr>
        <w:pStyle w:val="Heading3"/>
      </w:pPr>
      <w:r>
        <w:t xml:space="preserve">Voicemail and </w:t>
      </w:r>
      <w:r w:rsidR="00BA014F">
        <w:t>i</w:t>
      </w:r>
      <w:r w:rsidRPr="000F5FBB">
        <w:t xml:space="preserve">ntegrated </w:t>
      </w:r>
      <w:r>
        <w:t xml:space="preserve">voice </w:t>
      </w:r>
      <w:r w:rsidR="00BA014F">
        <w:t>m</w:t>
      </w:r>
      <w:r w:rsidRPr="000F5FBB">
        <w:t>essaging</w:t>
      </w:r>
    </w:p>
    <w:p w14:paraId="0EB7798F" w14:textId="77777777" w:rsidR="002C088B" w:rsidRPr="00923276" w:rsidRDefault="002C088B" w:rsidP="002C088B">
      <w:r>
        <w:t xml:space="preserve">If specified on the Order Form, provides a fully integrated voicemail solution including email notification and acknowledgement. </w:t>
      </w:r>
    </w:p>
    <w:p w14:paraId="2FBF2B68" w14:textId="3D46A9EF" w:rsidR="002C088B" w:rsidRPr="00EA5EBD" w:rsidRDefault="002C088B" w:rsidP="00BA014F">
      <w:pPr>
        <w:pStyle w:val="Heading3"/>
      </w:pPr>
      <w:r>
        <w:t xml:space="preserve">On-premise </w:t>
      </w:r>
      <w:r w:rsidR="00BA014F">
        <w:t>hardware m</w:t>
      </w:r>
      <w:r w:rsidRPr="00EA5EBD">
        <w:t xml:space="preserve">aintenance </w:t>
      </w:r>
    </w:p>
    <w:p w14:paraId="53F1010F" w14:textId="77777777" w:rsidR="002C088B" w:rsidRPr="00EA5EBD" w:rsidRDefault="002C088B" w:rsidP="002C088B">
      <w:r>
        <w:t>If specified on the Order Form, a</w:t>
      </w:r>
      <w:r w:rsidRPr="00EA5EBD">
        <w:t xml:space="preserve">ny fault relating to </w:t>
      </w:r>
      <w:r>
        <w:t>on premise hardware failure should</w:t>
      </w:r>
      <w:r w:rsidRPr="00EA5EBD">
        <w:t xml:space="preserve"> be covered by hardware maintenance. It is the customer’s responsibility to ensure this cover is in place. Node4 can provide hardware cover on request. If hardware</w:t>
      </w:r>
      <w:r>
        <w:t xml:space="preserve"> </w:t>
      </w:r>
      <w:r w:rsidRPr="00EA5EBD">
        <w:t xml:space="preserve">maintenance is provided by Node4 this will be identified on the </w:t>
      </w:r>
      <w:r>
        <w:t>O</w:t>
      </w:r>
      <w:r w:rsidRPr="00EA5EBD">
        <w:t xml:space="preserve">rder </w:t>
      </w:r>
      <w:r>
        <w:t>F</w:t>
      </w:r>
      <w:r w:rsidRPr="00EA5EBD">
        <w:t xml:space="preserve">orm. </w:t>
      </w:r>
    </w:p>
    <w:p w14:paraId="5FC272D7" w14:textId="58848CB0" w:rsidR="002C088B" w:rsidRPr="00821206" w:rsidRDefault="002C088B" w:rsidP="00BA014F">
      <w:pPr>
        <w:pStyle w:val="Heading3"/>
      </w:pPr>
      <w:r w:rsidRPr="00821206">
        <w:t>Numbering</w:t>
      </w:r>
      <w:r w:rsidR="00BA014F">
        <w:t>, emergency services, number p</w:t>
      </w:r>
      <w:r>
        <w:t>orting</w:t>
      </w:r>
    </w:p>
    <w:p w14:paraId="41BC8C81" w14:textId="77777777" w:rsidR="002C088B" w:rsidRDefault="002C088B" w:rsidP="002C088B">
      <w:r>
        <w:t>Please refer to the SIPLink Schedule for details.</w:t>
      </w:r>
    </w:p>
    <w:p w14:paraId="79670800" w14:textId="11991F76" w:rsidR="002C088B" w:rsidRPr="00E733AB" w:rsidRDefault="002C088B" w:rsidP="00BA014F">
      <w:pPr>
        <w:pStyle w:val="Heading3"/>
        <w:rPr>
          <w:bCs/>
        </w:rPr>
      </w:pPr>
      <w:r w:rsidRPr="00E733AB">
        <w:t>Number</w:t>
      </w:r>
      <w:r w:rsidR="00BA014F">
        <w:t xml:space="preserve"> a</w:t>
      </w:r>
      <w:r>
        <w:t xml:space="preserve">llocation and </w:t>
      </w:r>
      <w:r w:rsidR="00BA014F">
        <w:t>p</w:t>
      </w:r>
      <w:r>
        <w:t>orting</w:t>
      </w:r>
      <w:r w:rsidRPr="00E733AB">
        <w:t xml:space="preserve"> </w:t>
      </w:r>
      <w:r w:rsidR="00BA014F">
        <w:t>c</w:t>
      </w:r>
      <w:r w:rsidRPr="00E733AB">
        <w:t>harges</w:t>
      </w:r>
    </w:p>
    <w:p w14:paraId="00AAF1B9" w14:textId="77777777" w:rsidR="002C088B" w:rsidRPr="00EF2473" w:rsidRDefault="002C088B" w:rsidP="002C088B">
      <w:r>
        <w:t>If specified on the Order Form, where agreements are in place Node4 can port customers’ existing numbers or allocate new geographic, non-geographic and international numbers for use on Collaboration services.  Fees for number set-up and porting are identified on the Order Form.</w:t>
      </w:r>
    </w:p>
    <w:p w14:paraId="3907F44A" w14:textId="77777777" w:rsidR="002C088B" w:rsidRPr="00180DAC" w:rsidRDefault="002C088B" w:rsidP="00BA014F">
      <w:pPr>
        <w:pStyle w:val="Heading3"/>
        <w:rPr>
          <w:bCs/>
        </w:rPr>
      </w:pPr>
      <w:r w:rsidRPr="00180DAC">
        <w:t>Hardware</w:t>
      </w:r>
    </w:p>
    <w:p w14:paraId="01338990" w14:textId="77777777" w:rsidR="002C088B" w:rsidRDefault="002C088B" w:rsidP="002C088B">
      <w:r>
        <w:t>If specified on the Order Form, as part of a Collaboration solution hardware may be supplied including, but not restricted to:</w:t>
      </w:r>
    </w:p>
    <w:p w14:paraId="31310D9D" w14:textId="77777777" w:rsidR="002C088B" w:rsidRDefault="002C088B" w:rsidP="002C088B">
      <w:pPr>
        <w:pStyle w:val="ListParagraph"/>
        <w:numPr>
          <w:ilvl w:val="0"/>
          <w:numId w:val="35"/>
        </w:numPr>
        <w:ind w:left="426"/>
      </w:pPr>
      <w:r w:rsidRPr="00B3450F">
        <w:t>IP Phones</w:t>
      </w:r>
    </w:p>
    <w:p w14:paraId="41E411A2" w14:textId="77777777" w:rsidR="002C088B" w:rsidRPr="00B3450F" w:rsidRDefault="002C088B" w:rsidP="002C088B">
      <w:pPr>
        <w:pStyle w:val="ListParagraph"/>
        <w:numPr>
          <w:ilvl w:val="0"/>
          <w:numId w:val="35"/>
        </w:numPr>
        <w:ind w:left="426"/>
      </w:pPr>
      <w:r>
        <w:t>Telepresence devices</w:t>
      </w:r>
    </w:p>
    <w:p w14:paraId="658551C6" w14:textId="77777777" w:rsidR="002C088B" w:rsidRPr="00B3450F" w:rsidRDefault="002C088B" w:rsidP="002C088B">
      <w:pPr>
        <w:pStyle w:val="ListParagraph"/>
        <w:numPr>
          <w:ilvl w:val="0"/>
          <w:numId w:val="35"/>
        </w:numPr>
        <w:ind w:left="426"/>
      </w:pPr>
      <w:r w:rsidRPr="00B3450F">
        <w:t>Switches (optional PoE)</w:t>
      </w:r>
    </w:p>
    <w:p w14:paraId="469EF9E3" w14:textId="77777777" w:rsidR="002C088B" w:rsidRPr="00B3450F" w:rsidRDefault="002C088B" w:rsidP="002C088B">
      <w:pPr>
        <w:pStyle w:val="ListParagraph"/>
        <w:numPr>
          <w:ilvl w:val="0"/>
          <w:numId w:val="35"/>
        </w:numPr>
        <w:ind w:left="426"/>
      </w:pPr>
      <w:r w:rsidRPr="00B3450F">
        <w:t>Routers</w:t>
      </w:r>
    </w:p>
    <w:p w14:paraId="5BE554F3" w14:textId="77777777" w:rsidR="002C088B" w:rsidRPr="006A0989" w:rsidRDefault="002C088B" w:rsidP="002C088B">
      <w:r>
        <w:t>Any hardware supplied is not covered under the Service Level Agreement but hardware maintenance can be provided and if taken is identified on the Order Form.</w:t>
      </w:r>
    </w:p>
    <w:p w14:paraId="07F8E62B" w14:textId="77777777" w:rsidR="002C088B" w:rsidRPr="004B6571" w:rsidRDefault="002C088B" w:rsidP="00BA014F">
      <w:pPr>
        <w:pStyle w:val="Heading3"/>
      </w:pPr>
      <w:r w:rsidRPr="004B6571">
        <w:t>CDR definition</w:t>
      </w:r>
    </w:p>
    <w:p w14:paraId="72A2A4B5" w14:textId="77777777" w:rsidR="002C088B" w:rsidRDefault="002C088B" w:rsidP="002C088B">
      <w:r>
        <w:t xml:space="preserve">If specified on the Order Form, where Customer’s choose to bill their customers for calls, </w:t>
      </w:r>
      <w:r w:rsidRPr="00EF2473">
        <w:t xml:space="preserve">CDR’s will be placed </w:t>
      </w:r>
      <w:r>
        <w:t>on the portal</w:t>
      </w:r>
      <w:r w:rsidRPr="00EF2473">
        <w:t xml:space="preserve"> for the Customer to download on a daily basis. Node4 will use its reasonable endeavours to ensure that the CDR download facility is permanently available. Any faults with the CDR facilities should be reported to the Node4 Technical Support </w:t>
      </w:r>
      <w:r>
        <w:t xml:space="preserve">Centre, </w:t>
      </w:r>
      <w:r w:rsidRPr="00EF2473">
        <w:t>in accordance with the stand</w:t>
      </w:r>
      <w:r>
        <w:t>ard fault management procedures</w:t>
      </w:r>
      <w:r w:rsidRPr="00EF2473">
        <w:t>. Node4 accept no responsibility for the validity of the billing data sent by the Customer to third parties.</w:t>
      </w:r>
    </w:p>
    <w:p w14:paraId="6495B095" w14:textId="5B3C10F2" w:rsidR="002C088B" w:rsidRPr="00180DAC" w:rsidRDefault="002C088B" w:rsidP="00BA014F">
      <w:pPr>
        <w:pStyle w:val="Heading3"/>
        <w:rPr>
          <w:bCs/>
        </w:rPr>
      </w:pPr>
      <w:r w:rsidRPr="00180DAC">
        <w:t xml:space="preserve">Customer </w:t>
      </w:r>
      <w:r w:rsidR="00BA014F">
        <w:t>s</w:t>
      </w:r>
      <w:r w:rsidRPr="00180DAC">
        <w:t>upport</w:t>
      </w:r>
    </w:p>
    <w:p w14:paraId="5DA435A5" w14:textId="77777777" w:rsidR="002C088B" w:rsidRPr="00EF2473" w:rsidRDefault="002C088B" w:rsidP="002C088B">
      <w:r>
        <w:t xml:space="preserve">Unless otherwise stated on the Order Form Bronze level support, as identified in the fault management and reporting handbook is provided on Collaboration services.  </w:t>
      </w:r>
      <w:r w:rsidRPr="00EF2473">
        <w:t xml:space="preserve">Node4 provides the </w:t>
      </w:r>
      <w:r>
        <w:t>Collaboration service</w:t>
      </w:r>
      <w:r w:rsidRPr="00EF2473">
        <w:t xml:space="preserve"> direct to the Customer. The Customer commits to fully manage all their customers and suppliers directly. Node4 will not interface directly with any third parties working with the Customer. If the Customer requires Node4 to provide their customers with a customer care or NOC service this is available on request and subject to Professional Service </w:t>
      </w:r>
      <w:r>
        <w:t>Fees</w:t>
      </w:r>
      <w:r w:rsidRPr="00EF2473">
        <w:t>.</w:t>
      </w:r>
    </w:p>
    <w:p w14:paraId="7FAADBE5" w14:textId="77777777" w:rsidR="002C088B" w:rsidRPr="00180DAC" w:rsidRDefault="002C088B" w:rsidP="00BA014F">
      <w:pPr>
        <w:pStyle w:val="Heading3"/>
        <w:rPr>
          <w:bCs/>
        </w:rPr>
      </w:pPr>
      <w:r w:rsidRPr="00180DAC">
        <w:t>Connectivity</w:t>
      </w:r>
    </w:p>
    <w:p w14:paraId="58C2E20A" w14:textId="77777777" w:rsidR="002C088B" w:rsidRDefault="002C088B" w:rsidP="002C088B">
      <w:r>
        <w:t>If specified on the Order Form, connectivity between Node4 and the customer site is ideally provided using a Node4-supplied connectivity solution.  This is covered by a separate Service Provision and Service Levels.  Please refer to the ConnectMPLS or relevant connectivity schedule for details.</w:t>
      </w:r>
    </w:p>
    <w:p w14:paraId="47669198" w14:textId="77777777" w:rsidR="002C088B" w:rsidRDefault="002C088B" w:rsidP="002C088B">
      <w:r>
        <w:t xml:space="preserve">Where the customer opts to use their own IP </w:t>
      </w:r>
      <w:r w:rsidRPr="00696E7F">
        <w:t xml:space="preserve">connection </w:t>
      </w:r>
      <w:r>
        <w:t>Node4</w:t>
      </w:r>
      <w:r w:rsidRPr="00696E7F">
        <w:t xml:space="preserve"> can provision an IPSec Site-to-Site connection using </w:t>
      </w:r>
      <w:r>
        <w:t>the c</w:t>
      </w:r>
      <w:r w:rsidRPr="00696E7F">
        <w:t>ustomer</w:t>
      </w:r>
      <w:r>
        <w:t>s own Internet connection, or via a border proxy solution, but there are</w:t>
      </w:r>
      <w:r w:rsidRPr="00696E7F">
        <w:t xml:space="preserve"> no guarantees for this service</w:t>
      </w:r>
      <w:r>
        <w:t>, and additional charges may apply (indicated on the Order Form).</w:t>
      </w:r>
    </w:p>
    <w:p w14:paraId="44EC46A4" w14:textId="0BF87414" w:rsidR="002C088B" w:rsidRPr="00180DAC" w:rsidRDefault="002C088B" w:rsidP="00BA014F">
      <w:pPr>
        <w:pStyle w:val="Heading3"/>
        <w:rPr>
          <w:bCs/>
        </w:rPr>
      </w:pPr>
      <w:r w:rsidRPr="00180DAC">
        <w:t xml:space="preserve">Maintenance </w:t>
      </w:r>
      <w:r w:rsidR="00BA014F">
        <w:t>w</w:t>
      </w:r>
      <w:r w:rsidRPr="00180DAC">
        <w:t>indow</w:t>
      </w:r>
    </w:p>
    <w:p w14:paraId="375ED3ED" w14:textId="77777777" w:rsidR="002C088B" w:rsidRDefault="002C088B" w:rsidP="002C088B">
      <w:r w:rsidRPr="00EF2473">
        <w:t>Where Node4 plans to perform essential works Node4 will endeavour to perform such works during low traffic periods and will endeavour to give the Customer at least five (5) days prior notice. In the event of an emergency or Service affecting fault such no</w:t>
      </w:r>
      <w:r>
        <w:t>tice may be less than 24 hours.</w:t>
      </w:r>
    </w:p>
    <w:p w14:paraId="4BF4F67A" w14:textId="1E320BBA" w:rsidR="002C088B" w:rsidRDefault="002C088B" w:rsidP="00BA014F">
      <w:pPr>
        <w:pStyle w:val="Heading3"/>
      </w:pPr>
      <w:r>
        <w:lastRenderedPageBreak/>
        <w:t xml:space="preserve">Professional </w:t>
      </w:r>
      <w:r w:rsidR="00BA014F">
        <w:t>s</w:t>
      </w:r>
      <w:r>
        <w:t xml:space="preserve">ervices </w:t>
      </w:r>
    </w:p>
    <w:p w14:paraId="0FA075D3" w14:textId="77777777" w:rsidR="002C088B" w:rsidRPr="00EF2473" w:rsidRDefault="002C088B" w:rsidP="002C088B">
      <w:r>
        <w:t xml:space="preserve">Node4 can provide </w:t>
      </w:r>
      <w:r w:rsidRPr="00EF2473">
        <w:t xml:space="preserve">full range of </w:t>
      </w:r>
      <w:r>
        <w:t>p</w:t>
      </w:r>
      <w:r w:rsidRPr="00EF2473">
        <w:t xml:space="preserve">rofessional </w:t>
      </w:r>
      <w:r>
        <w:t>s</w:t>
      </w:r>
      <w:r w:rsidRPr="00EF2473">
        <w:t xml:space="preserve">ervices </w:t>
      </w:r>
      <w:r>
        <w:t>including</w:t>
      </w:r>
      <w:r w:rsidRPr="00EF2473">
        <w:t xml:space="preserve"> bu</w:t>
      </w:r>
      <w:r>
        <w:t>t are not limited to:</w:t>
      </w:r>
    </w:p>
    <w:p w14:paraId="19D4C86A" w14:textId="77777777" w:rsidR="002C088B" w:rsidRPr="00B3450F" w:rsidRDefault="002C088B" w:rsidP="002C088B">
      <w:pPr>
        <w:pStyle w:val="ListParagraph"/>
        <w:numPr>
          <w:ilvl w:val="0"/>
          <w:numId w:val="33"/>
        </w:numPr>
        <w:ind w:left="426"/>
      </w:pPr>
      <w:r w:rsidRPr="00B3450F">
        <w:t>installation and configuration</w:t>
      </w:r>
    </w:p>
    <w:p w14:paraId="13195D28" w14:textId="77777777" w:rsidR="002C088B" w:rsidRPr="00B3450F" w:rsidRDefault="002C088B" w:rsidP="002C088B">
      <w:pPr>
        <w:pStyle w:val="ListParagraph"/>
        <w:numPr>
          <w:ilvl w:val="0"/>
          <w:numId w:val="33"/>
        </w:numPr>
        <w:ind w:left="426"/>
      </w:pPr>
      <w:r w:rsidRPr="00B3450F">
        <w:t>remote services</w:t>
      </w:r>
    </w:p>
    <w:p w14:paraId="4F17886B" w14:textId="77777777" w:rsidR="002C088B" w:rsidRPr="00B3450F" w:rsidRDefault="002C088B" w:rsidP="002C088B">
      <w:pPr>
        <w:pStyle w:val="ListParagraph"/>
        <w:numPr>
          <w:ilvl w:val="0"/>
          <w:numId w:val="33"/>
        </w:numPr>
        <w:ind w:left="426"/>
      </w:pPr>
      <w:r w:rsidRPr="00B3450F">
        <w:t>management</w:t>
      </w:r>
    </w:p>
    <w:p w14:paraId="54D95640" w14:textId="77777777" w:rsidR="002C088B" w:rsidRPr="00EF2473" w:rsidRDefault="002C088B" w:rsidP="002C088B">
      <w:r w:rsidRPr="00EF2473">
        <w:t xml:space="preserve">The </w:t>
      </w:r>
      <w:r>
        <w:t>p</w:t>
      </w:r>
      <w:r w:rsidRPr="00EF2473">
        <w:t xml:space="preserve">rofessional </w:t>
      </w:r>
      <w:r>
        <w:t>s</w:t>
      </w:r>
      <w:r w:rsidRPr="00EF2473">
        <w:t>ervices are subject to the price list below. Specific rates for large or repeat orders can be agreed on a case by case basis in writing.</w:t>
      </w:r>
    </w:p>
    <w:p w14:paraId="30CEA5E0" w14:textId="77777777" w:rsidR="002C088B" w:rsidRDefault="002C088B" w:rsidP="002C088B">
      <w:r w:rsidRPr="00EF2473">
        <w:t xml:space="preserve">All incremental expenses incurred during these Professional Services will be passed directly to the Customer. Provisioning costs such as cabling will be discussed and agreed with the Customer in the </w:t>
      </w:r>
      <w:r>
        <w:t>Order Form</w:t>
      </w:r>
      <w:r w:rsidRPr="00EF2473">
        <w:t>.</w:t>
      </w:r>
    </w:p>
    <w:p w14:paraId="02BE46F0" w14:textId="77777777" w:rsidR="002C088B" w:rsidRDefault="002C088B" w:rsidP="00BA014F">
      <w:pPr>
        <w:pStyle w:val="Heading3"/>
      </w:pPr>
      <w:r>
        <w:t>Changes</w:t>
      </w:r>
    </w:p>
    <w:p w14:paraId="58B42061" w14:textId="77777777" w:rsidR="002C088B" w:rsidRPr="005C1C59" w:rsidRDefault="002C088B" w:rsidP="002C088B">
      <w:pPr>
        <w:rPr>
          <w:rFonts w:cs="Arial"/>
        </w:rPr>
      </w:pPr>
      <w:r>
        <w:rPr>
          <w:rFonts w:cs="Arial"/>
        </w:rPr>
        <w:t>S</w:t>
      </w:r>
      <w:r w:rsidRPr="00521EDC">
        <w:rPr>
          <w:rFonts w:cs="Arial"/>
        </w:rPr>
        <w:t>tandard MACs</w:t>
      </w:r>
      <w:r>
        <w:rPr>
          <w:rFonts w:cs="Arial"/>
        </w:rPr>
        <w:t xml:space="preserve"> are included</w:t>
      </w:r>
      <w:r w:rsidRPr="00521EDC">
        <w:rPr>
          <w:rFonts w:cs="Arial"/>
        </w:rPr>
        <w:t xml:space="preserve"> (fair use policy applies</w:t>
      </w:r>
      <w:r>
        <w:rPr>
          <w:rFonts w:cs="Arial"/>
        </w:rPr>
        <w:t>), Node4 will endeavour to complete Standard MACs within 3 Business Days.</w:t>
      </w:r>
    </w:p>
    <w:p w14:paraId="114B161D" w14:textId="77777777" w:rsidR="002C088B" w:rsidRDefault="002C088B" w:rsidP="002C088B">
      <w:r w:rsidRPr="003552F6">
        <w:t>Change requests conducted outside of the support contract, or change request implemented outside normal business hours will be dealt with as chargeable projects and subject to the Support and Professional Services Fess in 4.4.</w:t>
      </w:r>
    </w:p>
    <w:p w14:paraId="089C1E18" w14:textId="77777777" w:rsidR="002C088B" w:rsidRPr="00947FFA" w:rsidRDefault="002C088B" w:rsidP="002C088B">
      <w:r w:rsidRPr="00CB6D1F">
        <w:t>Additional Orders – any additions or changes that incur additional cost such as additional users or hardware, will be managed via Node4’s standard ordering process.</w:t>
      </w:r>
    </w:p>
    <w:p w14:paraId="683B441A" w14:textId="01CFE87C" w:rsidR="002C088B" w:rsidRPr="00EF2473" w:rsidRDefault="002C088B" w:rsidP="002C088B">
      <w:pPr>
        <w:pStyle w:val="Heading2"/>
        <w:numPr>
          <w:ilvl w:val="0"/>
          <w:numId w:val="32"/>
        </w:numPr>
        <w:ind w:left="357" w:hanging="357"/>
        <w:jc w:val="left"/>
      </w:pPr>
      <w:r w:rsidRPr="00EF2473">
        <w:t>F</w:t>
      </w:r>
      <w:r w:rsidR="00BA014F">
        <w:t xml:space="preserve">ault reporting and management </w:t>
      </w:r>
    </w:p>
    <w:p w14:paraId="44B07AED" w14:textId="2D3DF20F" w:rsidR="002C088B" w:rsidRPr="00180DAC" w:rsidRDefault="00BA014F" w:rsidP="00BA014F">
      <w:pPr>
        <w:pStyle w:val="Heading3"/>
        <w:rPr>
          <w:bCs/>
        </w:rPr>
      </w:pPr>
      <w:r>
        <w:t>Fault h</w:t>
      </w:r>
      <w:r w:rsidR="002C088B" w:rsidRPr="00180DAC">
        <w:t>andling</w:t>
      </w:r>
    </w:p>
    <w:p w14:paraId="4168BC00" w14:textId="77777777" w:rsidR="002C088B" w:rsidRPr="00EF2473" w:rsidRDefault="002C088B" w:rsidP="002C088B">
      <w:r>
        <w:t>Faults are handled as outlined in the Incident Management Schedule.</w:t>
      </w:r>
    </w:p>
    <w:p w14:paraId="6A012709" w14:textId="6908D25B" w:rsidR="002C088B" w:rsidRPr="00180DAC" w:rsidRDefault="00BA014F" w:rsidP="00BA014F">
      <w:pPr>
        <w:pStyle w:val="Heading3"/>
        <w:rPr>
          <w:bCs/>
        </w:rPr>
      </w:pPr>
      <w:r>
        <w:t>Time to resolve f</w:t>
      </w:r>
      <w:r w:rsidR="002C088B" w:rsidRPr="00180DAC">
        <w:t>aults</w:t>
      </w:r>
    </w:p>
    <w:p w14:paraId="494378B5" w14:textId="2F051385" w:rsidR="002C088B" w:rsidRDefault="002C088B" w:rsidP="002C088B">
      <w:r w:rsidRPr="00EF2473">
        <w:t xml:space="preserve">Node4 aims to resolve faults </w:t>
      </w:r>
      <w:r>
        <w:t xml:space="preserve">in relation to the Node4 infrastructure </w:t>
      </w:r>
      <w:r w:rsidRPr="00EF2473">
        <w:t xml:space="preserve">causing a loss of service within four (4) hours. </w:t>
      </w:r>
    </w:p>
    <w:p w14:paraId="70CA98AD" w14:textId="4494576A" w:rsidR="009D18E1" w:rsidRDefault="009D18E1" w:rsidP="002C088B">
      <w:r>
        <w:t>Business hours</w:t>
      </w:r>
    </w:p>
    <w:tbl>
      <w:tblPr>
        <w:tblStyle w:val="TableGrid"/>
        <w:tblW w:w="4820"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134"/>
        <w:gridCol w:w="709"/>
        <w:gridCol w:w="709"/>
        <w:gridCol w:w="850"/>
        <w:gridCol w:w="709"/>
        <w:gridCol w:w="709"/>
      </w:tblGrid>
      <w:tr w:rsidR="009D18E1" w14:paraId="3D5F3E57" w14:textId="77777777" w:rsidTr="009D18E1">
        <w:trPr>
          <w:cantSplit/>
          <w:trHeight w:val="1283"/>
          <w:tblCellSpacing w:w="20" w:type="dxa"/>
        </w:trPr>
        <w:tc>
          <w:tcPr>
            <w:tcW w:w="1074" w:type="dxa"/>
            <w:tcBorders>
              <w:top w:val="nil"/>
              <w:left w:val="nil"/>
              <w:bottom w:val="nil"/>
              <w:right w:val="nil"/>
            </w:tcBorders>
            <w:shd w:val="clear" w:color="auto" w:fill="565A5C"/>
            <w:hideMark/>
          </w:tcPr>
          <w:p w14:paraId="46BCF40B" w14:textId="77777777" w:rsidR="009D18E1" w:rsidRPr="00A239AD" w:rsidRDefault="009D18E1" w:rsidP="006F2300">
            <w:pPr>
              <w:jc w:val="left"/>
              <w:rPr>
                <w:color w:val="FFFFFF" w:themeColor="background1"/>
                <w:sz w:val="14"/>
                <w:szCs w:val="14"/>
              </w:rPr>
            </w:pPr>
            <w:r w:rsidRPr="00A239AD">
              <w:rPr>
                <w:color w:val="FFFFFF" w:themeColor="background1"/>
                <w:sz w:val="14"/>
                <w:szCs w:val="14"/>
              </w:rPr>
              <w:t>Description</w:t>
            </w:r>
          </w:p>
        </w:tc>
        <w:tc>
          <w:tcPr>
            <w:tcW w:w="669" w:type="dxa"/>
            <w:tcBorders>
              <w:top w:val="nil"/>
              <w:left w:val="nil"/>
              <w:bottom w:val="nil"/>
              <w:right w:val="nil"/>
            </w:tcBorders>
            <w:shd w:val="clear" w:color="auto" w:fill="565A5C"/>
            <w:hideMark/>
          </w:tcPr>
          <w:p w14:paraId="59EB2A21" w14:textId="77777777" w:rsidR="009D18E1" w:rsidRPr="005723D5" w:rsidRDefault="009D18E1" w:rsidP="006F2300">
            <w:pPr>
              <w:jc w:val="left"/>
              <w:rPr>
                <w:color w:val="FFFFFF" w:themeColor="background1"/>
                <w:sz w:val="14"/>
                <w:szCs w:val="14"/>
              </w:rPr>
            </w:pPr>
            <w:r w:rsidRPr="005723D5">
              <w:rPr>
                <w:rFonts w:cs="Arial"/>
                <w:color w:val="FFFFFF" w:themeColor="background1"/>
                <w:sz w:val="14"/>
                <w:szCs w:val="14"/>
              </w:rPr>
              <w:t>Priority</w:t>
            </w:r>
            <w:r>
              <w:rPr>
                <w:color w:val="FFFFFF" w:themeColor="background1"/>
                <w:sz w:val="14"/>
                <w:szCs w:val="14"/>
              </w:rPr>
              <w:t xml:space="preserve"> </w:t>
            </w:r>
            <w:r w:rsidRPr="005723D5">
              <w:rPr>
                <w:color w:val="FFFFFF" w:themeColor="background1"/>
                <w:sz w:val="14"/>
                <w:szCs w:val="14"/>
              </w:rPr>
              <w:t>1</w:t>
            </w:r>
          </w:p>
        </w:tc>
        <w:tc>
          <w:tcPr>
            <w:tcW w:w="669" w:type="dxa"/>
            <w:tcBorders>
              <w:top w:val="nil"/>
              <w:left w:val="nil"/>
              <w:bottom w:val="nil"/>
              <w:right w:val="nil"/>
            </w:tcBorders>
            <w:shd w:val="clear" w:color="auto" w:fill="565A5C"/>
            <w:hideMark/>
          </w:tcPr>
          <w:p w14:paraId="2DBC0F8D" w14:textId="77777777" w:rsidR="009D18E1" w:rsidRPr="005723D5" w:rsidRDefault="009D18E1" w:rsidP="006F2300">
            <w:pPr>
              <w:jc w:val="left"/>
              <w:rPr>
                <w:color w:val="FFFFFF" w:themeColor="background1"/>
                <w:sz w:val="14"/>
                <w:szCs w:val="14"/>
              </w:rPr>
            </w:pPr>
            <w:r w:rsidRPr="005723D5">
              <w:rPr>
                <w:rFonts w:cs="Arial"/>
                <w:color w:val="FFFFFF" w:themeColor="background1"/>
                <w:sz w:val="14"/>
                <w:szCs w:val="14"/>
              </w:rPr>
              <w:t xml:space="preserve">Priority </w:t>
            </w:r>
            <w:r w:rsidRPr="005723D5">
              <w:rPr>
                <w:color w:val="FFFFFF" w:themeColor="background1"/>
                <w:sz w:val="14"/>
                <w:szCs w:val="14"/>
              </w:rPr>
              <w:t>2</w:t>
            </w:r>
          </w:p>
        </w:tc>
        <w:tc>
          <w:tcPr>
            <w:tcW w:w="810" w:type="dxa"/>
            <w:tcBorders>
              <w:top w:val="nil"/>
              <w:left w:val="nil"/>
              <w:bottom w:val="nil"/>
              <w:right w:val="nil"/>
            </w:tcBorders>
            <w:shd w:val="clear" w:color="auto" w:fill="565A5C"/>
            <w:hideMark/>
          </w:tcPr>
          <w:p w14:paraId="22AD6CB7" w14:textId="77777777" w:rsidR="009D18E1" w:rsidRPr="005723D5" w:rsidRDefault="009D18E1" w:rsidP="006F2300">
            <w:pPr>
              <w:jc w:val="left"/>
              <w:rPr>
                <w:rFonts w:ascii="Calibri" w:hAnsi="Calibri"/>
                <w:color w:val="FFFFFF" w:themeColor="background1"/>
                <w:sz w:val="14"/>
                <w:szCs w:val="14"/>
              </w:rPr>
            </w:pPr>
            <w:r w:rsidRPr="005723D5">
              <w:rPr>
                <w:rFonts w:cs="Arial"/>
                <w:color w:val="FFFFFF" w:themeColor="background1"/>
                <w:sz w:val="14"/>
                <w:szCs w:val="14"/>
              </w:rPr>
              <w:t xml:space="preserve">Priority </w:t>
            </w:r>
            <w:r w:rsidRPr="005723D5">
              <w:rPr>
                <w:color w:val="FFFFFF" w:themeColor="background1"/>
                <w:sz w:val="14"/>
                <w:szCs w:val="14"/>
              </w:rPr>
              <w:t>3</w:t>
            </w:r>
          </w:p>
        </w:tc>
        <w:tc>
          <w:tcPr>
            <w:tcW w:w="669" w:type="dxa"/>
            <w:tcBorders>
              <w:top w:val="nil"/>
              <w:left w:val="nil"/>
              <w:bottom w:val="nil"/>
              <w:right w:val="nil"/>
            </w:tcBorders>
            <w:shd w:val="clear" w:color="auto" w:fill="565A5C"/>
            <w:hideMark/>
          </w:tcPr>
          <w:p w14:paraId="72306FCF" w14:textId="77777777" w:rsidR="009D18E1" w:rsidRPr="005723D5" w:rsidRDefault="009D18E1" w:rsidP="006F2300">
            <w:pPr>
              <w:jc w:val="left"/>
              <w:rPr>
                <w:color w:val="FFFFFF" w:themeColor="background1"/>
                <w:sz w:val="14"/>
                <w:szCs w:val="14"/>
              </w:rPr>
            </w:pPr>
            <w:r w:rsidRPr="005723D5">
              <w:rPr>
                <w:rFonts w:cs="Arial"/>
                <w:color w:val="FFFFFF" w:themeColor="background1"/>
                <w:sz w:val="14"/>
                <w:szCs w:val="14"/>
              </w:rPr>
              <w:t xml:space="preserve">Priority </w:t>
            </w:r>
            <w:r w:rsidRPr="005723D5">
              <w:rPr>
                <w:color w:val="FFFFFF" w:themeColor="background1"/>
                <w:sz w:val="14"/>
                <w:szCs w:val="14"/>
              </w:rPr>
              <w:t>4</w:t>
            </w:r>
          </w:p>
        </w:tc>
        <w:tc>
          <w:tcPr>
            <w:tcW w:w="649" w:type="dxa"/>
            <w:tcBorders>
              <w:top w:val="nil"/>
              <w:left w:val="nil"/>
              <w:bottom w:val="nil"/>
              <w:right w:val="nil"/>
            </w:tcBorders>
            <w:shd w:val="clear" w:color="auto" w:fill="565A5C"/>
            <w:hideMark/>
          </w:tcPr>
          <w:p w14:paraId="473E5567" w14:textId="77777777" w:rsidR="009D18E1" w:rsidRPr="005723D5" w:rsidRDefault="009D18E1" w:rsidP="006F2300">
            <w:pPr>
              <w:jc w:val="left"/>
              <w:rPr>
                <w:color w:val="FFFFFF" w:themeColor="background1"/>
                <w:sz w:val="14"/>
                <w:szCs w:val="14"/>
              </w:rPr>
            </w:pPr>
            <w:r>
              <w:rPr>
                <w:rFonts w:cs="Arial"/>
                <w:color w:val="FFFFFF" w:themeColor="background1"/>
                <w:sz w:val="14"/>
                <w:szCs w:val="14"/>
              </w:rPr>
              <w:t>Priorit</w:t>
            </w:r>
            <w:r w:rsidRPr="005723D5">
              <w:rPr>
                <w:rFonts w:cs="Arial"/>
                <w:color w:val="FFFFFF" w:themeColor="background1"/>
                <w:sz w:val="14"/>
                <w:szCs w:val="14"/>
              </w:rPr>
              <w:t xml:space="preserve">y </w:t>
            </w:r>
            <w:r w:rsidRPr="005723D5">
              <w:rPr>
                <w:color w:val="FFFFFF" w:themeColor="background1"/>
                <w:sz w:val="14"/>
                <w:szCs w:val="14"/>
              </w:rPr>
              <w:t>5</w:t>
            </w:r>
          </w:p>
        </w:tc>
      </w:tr>
      <w:tr w:rsidR="009D18E1" w14:paraId="02BE99C1" w14:textId="77777777" w:rsidTr="009D18E1">
        <w:trPr>
          <w:trHeight w:val="1469"/>
          <w:tblCellSpacing w:w="20" w:type="dxa"/>
        </w:trPr>
        <w:tc>
          <w:tcPr>
            <w:tcW w:w="1074" w:type="dxa"/>
            <w:tcBorders>
              <w:top w:val="nil"/>
              <w:left w:val="nil"/>
              <w:bottom w:val="nil"/>
              <w:right w:val="nil"/>
            </w:tcBorders>
            <w:shd w:val="clear" w:color="auto" w:fill="D9D9D9"/>
            <w:hideMark/>
          </w:tcPr>
          <w:p w14:paraId="0AB44F65" w14:textId="77777777" w:rsidR="009D18E1" w:rsidRPr="00E4044F" w:rsidRDefault="009D18E1" w:rsidP="006F2300">
            <w:pPr>
              <w:jc w:val="left"/>
              <w:rPr>
                <w:rFonts w:ascii="Calibri" w:hAnsi="Calibri" w:cs="Helvetica-Narrow"/>
                <w:sz w:val="16"/>
                <w:szCs w:val="16"/>
              </w:rPr>
            </w:pPr>
            <w:r w:rsidRPr="00E4044F">
              <w:rPr>
                <w:sz w:val="16"/>
                <w:szCs w:val="16"/>
              </w:rPr>
              <w:t>Faults &amp; Technical Queries Acknowledgement*</w:t>
            </w:r>
          </w:p>
        </w:tc>
        <w:tc>
          <w:tcPr>
            <w:tcW w:w="669" w:type="dxa"/>
            <w:tcBorders>
              <w:top w:val="nil"/>
              <w:left w:val="nil"/>
              <w:bottom w:val="nil"/>
              <w:right w:val="nil"/>
            </w:tcBorders>
            <w:shd w:val="clear" w:color="auto" w:fill="D9D9D9"/>
            <w:hideMark/>
          </w:tcPr>
          <w:p w14:paraId="4256953B" w14:textId="77777777" w:rsidR="009D18E1" w:rsidRPr="00E4044F" w:rsidRDefault="009D18E1" w:rsidP="006F2300">
            <w:pPr>
              <w:jc w:val="left"/>
              <w:rPr>
                <w:sz w:val="16"/>
                <w:szCs w:val="16"/>
              </w:rPr>
            </w:pPr>
            <w:r w:rsidRPr="00E4044F">
              <w:rPr>
                <w:sz w:val="16"/>
                <w:szCs w:val="16"/>
              </w:rPr>
              <w:t>30 Mins</w:t>
            </w:r>
          </w:p>
        </w:tc>
        <w:tc>
          <w:tcPr>
            <w:tcW w:w="669" w:type="dxa"/>
            <w:tcBorders>
              <w:top w:val="nil"/>
              <w:left w:val="nil"/>
              <w:bottom w:val="nil"/>
              <w:right w:val="nil"/>
            </w:tcBorders>
            <w:shd w:val="clear" w:color="auto" w:fill="D9D9D9"/>
            <w:hideMark/>
          </w:tcPr>
          <w:p w14:paraId="0EA7D37A" w14:textId="77777777" w:rsidR="009D18E1" w:rsidRPr="00E4044F" w:rsidRDefault="009D18E1" w:rsidP="006F2300">
            <w:pPr>
              <w:jc w:val="left"/>
              <w:rPr>
                <w:sz w:val="16"/>
                <w:szCs w:val="16"/>
              </w:rPr>
            </w:pPr>
            <w:r w:rsidRPr="00E4044F">
              <w:rPr>
                <w:sz w:val="16"/>
                <w:szCs w:val="16"/>
              </w:rPr>
              <w:t>30 Mins</w:t>
            </w:r>
          </w:p>
        </w:tc>
        <w:tc>
          <w:tcPr>
            <w:tcW w:w="810" w:type="dxa"/>
            <w:tcBorders>
              <w:top w:val="nil"/>
              <w:left w:val="nil"/>
              <w:bottom w:val="nil"/>
              <w:right w:val="nil"/>
            </w:tcBorders>
            <w:shd w:val="clear" w:color="auto" w:fill="D9D9D9"/>
            <w:hideMark/>
          </w:tcPr>
          <w:p w14:paraId="57689708" w14:textId="77777777" w:rsidR="009D18E1" w:rsidRPr="00E4044F" w:rsidRDefault="009D18E1" w:rsidP="006F2300">
            <w:pPr>
              <w:jc w:val="left"/>
              <w:rPr>
                <w:sz w:val="16"/>
                <w:szCs w:val="16"/>
              </w:rPr>
            </w:pPr>
            <w:r>
              <w:rPr>
                <w:sz w:val="16"/>
                <w:szCs w:val="16"/>
              </w:rPr>
              <w:t>1 H</w:t>
            </w:r>
            <w:r w:rsidRPr="00E4044F">
              <w:rPr>
                <w:sz w:val="16"/>
                <w:szCs w:val="16"/>
              </w:rPr>
              <w:t>r</w:t>
            </w:r>
          </w:p>
        </w:tc>
        <w:tc>
          <w:tcPr>
            <w:tcW w:w="669" w:type="dxa"/>
            <w:tcBorders>
              <w:top w:val="nil"/>
              <w:left w:val="nil"/>
              <w:bottom w:val="nil"/>
              <w:right w:val="nil"/>
            </w:tcBorders>
            <w:shd w:val="clear" w:color="auto" w:fill="D9D9D9"/>
            <w:hideMark/>
          </w:tcPr>
          <w:p w14:paraId="6276F215" w14:textId="77777777" w:rsidR="009D18E1" w:rsidRPr="00E4044F" w:rsidRDefault="009D18E1" w:rsidP="006F2300">
            <w:pPr>
              <w:jc w:val="left"/>
              <w:rPr>
                <w:sz w:val="16"/>
                <w:szCs w:val="16"/>
              </w:rPr>
            </w:pPr>
            <w:r>
              <w:rPr>
                <w:sz w:val="16"/>
                <w:szCs w:val="16"/>
              </w:rPr>
              <w:t>2 H</w:t>
            </w:r>
            <w:r w:rsidRPr="00E4044F">
              <w:rPr>
                <w:sz w:val="16"/>
                <w:szCs w:val="16"/>
              </w:rPr>
              <w:t>rs</w:t>
            </w:r>
          </w:p>
        </w:tc>
        <w:tc>
          <w:tcPr>
            <w:tcW w:w="649" w:type="dxa"/>
            <w:tcBorders>
              <w:top w:val="nil"/>
              <w:left w:val="nil"/>
              <w:bottom w:val="nil"/>
              <w:right w:val="nil"/>
            </w:tcBorders>
            <w:shd w:val="clear" w:color="auto" w:fill="D9D9D9"/>
            <w:hideMark/>
          </w:tcPr>
          <w:p w14:paraId="08320A37" w14:textId="77777777" w:rsidR="009D18E1" w:rsidRPr="00E4044F" w:rsidRDefault="009D18E1" w:rsidP="006F2300">
            <w:pPr>
              <w:jc w:val="left"/>
              <w:rPr>
                <w:sz w:val="16"/>
                <w:szCs w:val="16"/>
              </w:rPr>
            </w:pPr>
            <w:r w:rsidRPr="00E4044F">
              <w:rPr>
                <w:sz w:val="16"/>
                <w:szCs w:val="16"/>
              </w:rPr>
              <w:t>1 Day</w:t>
            </w:r>
          </w:p>
        </w:tc>
      </w:tr>
      <w:tr w:rsidR="009D18E1" w14:paraId="341ADC61" w14:textId="77777777" w:rsidTr="009D18E1">
        <w:trPr>
          <w:trHeight w:val="154"/>
          <w:tblCellSpacing w:w="20" w:type="dxa"/>
        </w:trPr>
        <w:tc>
          <w:tcPr>
            <w:tcW w:w="1074" w:type="dxa"/>
            <w:tcBorders>
              <w:top w:val="nil"/>
              <w:left w:val="nil"/>
              <w:bottom w:val="nil"/>
              <w:right w:val="nil"/>
            </w:tcBorders>
            <w:hideMark/>
          </w:tcPr>
          <w:p w14:paraId="2CB9738F" w14:textId="77777777" w:rsidR="009D18E1" w:rsidRPr="00E4044F" w:rsidRDefault="009D18E1" w:rsidP="006F2300">
            <w:pPr>
              <w:jc w:val="left"/>
              <w:rPr>
                <w:sz w:val="16"/>
                <w:szCs w:val="16"/>
              </w:rPr>
            </w:pPr>
            <w:r w:rsidRPr="00E4044F">
              <w:rPr>
                <w:sz w:val="16"/>
                <w:szCs w:val="16"/>
              </w:rPr>
              <w:t>Remedial Engineer Actions Commence</w:t>
            </w:r>
          </w:p>
        </w:tc>
        <w:tc>
          <w:tcPr>
            <w:tcW w:w="669" w:type="dxa"/>
            <w:tcBorders>
              <w:top w:val="nil"/>
              <w:left w:val="nil"/>
              <w:bottom w:val="nil"/>
              <w:right w:val="nil"/>
            </w:tcBorders>
            <w:hideMark/>
          </w:tcPr>
          <w:p w14:paraId="6192ECEB" w14:textId="77777777" w:rsidR="009D18E1" w:rsidRPr="00E4044F" w:rsidRDefault="009D18E1" w:rsidP="006F2300">
            <w:pPr>
              <w:jc w:val="left"/>
              <w:rPr>
                <w:sz w:val="16"/>
                <w:szCs w:val="16"/>
              </w:rPr>
            </w:pPr>
            <w:r w:rsidRPr="00E4044F">
              <w:rPr>
                <w:sz w:val="16"/>
                <w:szCs w:val="16"/>
              </w:rPr>
              <w:t xml:space="preserve">1 </w:t>
            </w:r>
            <w:r>
              <w:rPr>
                <w:sz w:val="16"/>
                <w:szCs w:val="16"/>
              </w:rPr>
              <w:t>H</w:t>
            </w:r>
            <w:r w:rsidRPr="00E4044F">
              <w:rPr>
                <w:sz w:val="16"/>
                <w:szCs w:val="16"/>
              </w:rPr>
              <w:t>r</w:t>
            </w:r>
          </w:p>
        </w:tc>
        <w:tc>
          <w:tcPr>
            <w:tcW w:w="669" w:type="dxa"/>
            <w:tcBorders>
              <w:top w:val="nil"/>
              <w:left w:val="nil"/>
              <w:bottom w:val="nil"/>
              <w:right w:val="nil"/>
            </w:tcBorders>
            <w:hideMark/>
          </w:tcPr>
          <w:p w14:paraId="5C97E782" w14:textId="77777777" w:rsidR="009D18E1" w:rsidRPr="00E4044F" w:rsidRDefault="009D18E1" w:rsidP="006F2300">
            <w:pPr>
              <w:jc w:val="left"/>
              <w:rPr>
                <w:sz w:val="16"/>
                <w:szCs w:val="16"/>
              </w:rPr>
            </w:pPr>
            <w:r>
              <w:rPr>
                <w:sz w:val="16"/>
                <w:szCs w:val="16"/>
              </w:rPr>
              <w:t>2 H</w:t>
            </w:r>
            <w:r w:rsidRPr="00E4044F">
              <w:rPr>
                <w:sz w:val="16"/>
                <w:szCs w:val="16"/>
              </w:rPr>
              <w:t>rs</w:t>
            </w:r>
          </w:p>
        </w:tc>
        <w:tc>
          <w:tcPr>
            <w:tcW w:w="810" w:type="dxa"/>
            <w:tcBorders>
              <w:top w:val="nil"/>
              <w:left w:val="nil"/>
              <w:bottom w:val="nil"/>
              <w:right w:val="nil"/>
            </w:tcBorders>
            <w:hideMark/>
          </w:tcPr>
          <w:p w14:paraId="4A9954E5" w14:textId="77777777" w:rsidR="009D18E1" w:rsidRPr="00E4044F" w:rsidRDefault="009D18E1" w:rsidP="006F2300">
            <w:pPr>
              <w:jc w:val="left"/>
              <w:rPr>
                <w:sz w:val="16"/>
                <w:szCs w:val="16"/>
              </w:rPr>
            </w:pPr>
            <w:r>
              <w:rPr>
                <w:sz w:val="16"/>
                <w:szCs w:val="16"/>
              </w:rPr>
              <w:t>4 H</w:t>
            </w:r>
            <w:r w:rsidRPr="00E4044F">
              <w:rPr>
                <w:sz w:val="16"/>
                <w:szCs w:val="16"/>
              </w:rPr>
              <w:t>rs</w:t>
            </w:r>
          </w:p>
        </w:tc>
        <w:tc>
          <w:tcPr>
            <w:tcW w:w="669" w:type="dxa"/>
            <w:tcBorders>
              <w:top w:val="nil"/>
              <w:left w:val="nil"/>
              <w:bottom w:val="nil"/>
              <w:right w:val="nil"/>
            </w:tcBorders>
            <w:hideMark/>
          </w:tcPr>
          <w:p w14:paraId="775AB9E4" w14:textId="77777777" w:rsidR="009D18E1" w:rsidRPr="00E4044F" w:rsidRDefault="009D18E1" w:rsidP="006F2300">
            <w:pPr>
              <w:jc w:val="left"/>
              <w:rPr>
                <w:sz w:val="16"/>
                <w:szCs w:val="16"/>
              </w:rPr>
            </w:pPr>
            <w:r>
              <w:rPr>
                <w:sz w:val="16"/>
                <w:szCs w:val="16"/>
              </w:rPr>
              <w:t>12 H</w:t>
            </w:r>
            <w:r w:rsidRPr="00E4044F">
              <w:rPr>
                <w:sz w:val="16"/>
                <w:szCs w:val="16"/>
              </w:rPr>
              <w:t>rs</w:t>
            </w:r>
          </w:p>
        </w:tc>
        <w:tc>
          <w:tcPr>
            <w:tcW w:w="649" w:type="dxa"/>
            <w:tcBorders>
              <w:top w:val="nil"/>
              <w:left w:val="nil"/>
              <w:bottom w:val="nil"/>
              <w:right w:val="nil"/>
            </w:tcBorders>
            <w:hideMark/>
          </w:tcPr>
          <w:p w14:paraId="6E9A64D3" w14:textId="77777777" w:rsidR="009D18E1" w:rsidRPr="00E4044F" w:rsidRDefault="009D18E1" w:rsidP="006F2300">
            <w:pPr>
              <w:jc w:val="left"/>
              <w:rPr>
                <w:sz w:val="16"/>
                <w:szCs w:val="16"/>
              </w:rPr>
            </w:pPr>
            <w:r w:rsidRPr="00E4044F">
              <w:rPr>
                <w:sz w:val="16"/>
                <w:szCs w:val="16"/>
              </w:rPr>
              <w:t>N/A</w:t>
            </w:r>
          </w:p>
        </w:tc>
      </w:tr>
      <w:tr w:rsidR="009D18E1" w14:paraId="213BA9BB" w14:textId="77777777" w:rsidTr="009D18E1">
        <w:trPr>
          <w:trHeight w:val="952"/>
          <w:tblCellSpacing w:w="20" w:type="dxa"/>
        </w:trPr>
        <w:tc>
          <w:tcPr>
            <w:tcW w:w="1074" w:type="dxa"/>
            <w:tcBorders>
              <w:top w:val="nil"/>
              <w:left w:val="nil"/>
              <w:bottom w:val="nil"/>
              <w:right w:val="nil"/>
            </w:tcBorders>
            <w:shd w:val="clear" w:color="auto" w:fill="D9D9D9"/>
            <w:hideMark/>
          </w:tcPr>
          <w:p w14:paraId="622CB27E" w14:textId="77777777" w:rsidR="009D18E1" w:rsidRPr="00E4044F" w:rsidRDefault="009D18E1" w:rsidP="006F2300">
            <w:pPr>
              <w:jc w:val="left"/>
              <w:rPr>
                <w:rFonts w:ascii="Calibri" w:hAnsi="Calibri" w:cs="Helvetica-Narrow"/>
                <w:sz w:val="16"/>
                <w:szCs w:val="16"/>
              </w:rPr>
            </w:pPr>
            <w:r w:rsidRPr="00E4044F">
              <w:rPr>
                <w:sz w:val="16"/>
                <w:szCs w:val="16"/>
              </w:rPr>
              <w:t>Time to Resolve Fault**</w:t>
            </w:r>
          </w:p>
        </w:tc>
        <w:tc>
          <w:tcPr>
            <w:tcW w:w="669" w:type="dxa"/>
            <w:tcBorders>
              <w:top w:val="nil"/>
              <w:left w:val="nil"/>
              <w:bottom w:val="nil"/>
              <w:right w:val="nil"/>
            </w:tcBorders>
            <w:shd w:val="clear" w:color="auto" w:fill="D9D9D9"/>
            <w:hideMark/>
          </w:tcPr>
          <w:p w14:paraId="67C87EF0" w14:textId="77777777" w:rsidR="009D18E1" w:rsidRPr="00E4044F" w:rsidRDefault="009D18E1" w:rsidP="006F2300">
            <w:pPr>
              <w:jc w:val="left"/>
              <w:rPr>
                <w:sz w:val="16"/>
                <w:szCs w:val="16"/>
              </w:rPr>
            </w:pPr>
            <w:r>
              <w:rPr>
                <w:sz w:val="16"/>
                <w:szCs w:val="16"/>
              </w:rPr>
              <w:t>4 H</w:t>
            </w:r>
            <w:r w:rsidRPr="00E4044F">
              <w:rPr>
                <w:sz w:val="16"/>
                <w:szCs w:val="16"/>
              </w:rPr>
              <w:t>rs</w:t>
            </w:r>
          </w:p>
        </w:tc>
        <w:tc>
          <w:tcPr>
            <w:tcW w:w="669" w:type="dxa"/>
            <w:tcBorders>
              <w:top w:val="nil"/>
              <w:left w:val="nil"/>
              <w:bottom w:val="nil"/>
              <w:right w:val="nil"/>
            </w:tcBorders>
            <w:shd w:val="clear" w:color="auto" w:fill="D9D9D9"/>
            <w:hideMark/>
          </w:tcPr>
          <w:p w14:paraId="11BA9DFF" w14:textId="77777777" w:rsidR="009D18E1" w:rsidRPr="00E4044F" w:rsidRDefault="009D18E1" w:rsidP="006F2300">
            <w:pPr>
              <w:jc w:val="left"/>
              <w:rPr>
                <w:sz w:val="16"/>
                <w:szCs w:val="16"/>
              </w:rPr>
            </w:pPr>
            <w:r w:rsidRPr="00E4044F">
              <w:rPr>
                <w:sz w:val="16"/>
                <w:szCs w:val="16"/>
              </w:rPr>
              <w:t>4</w:t>
            </w:r>
            <w:r>
              <w:rPr>
                <w:sz w:val="16"/>
                <w:szCs w:val="16"/>
              </w:rPr>
              <w:br/>
              <w:t>H</w:t>
            </w:r>
            <w:r w:rsidRPr="00E4044F">
              <w:rPr>
                <w:sz w:val="16"/>
                <w:szCs w:val="16"/>
              </w:rPr>
              <w:t>rs</w:t>
            </w:r>
          </w:p>
        </w:tc>
        <w:tc>
          <w:tcPr>
            <w:tcW w:w="810" w:type="dxa"/>
            <w:tcBorders>
              <w:top w:val="nil"/>
              <w:left w:val="nil"/>
              <w:bottom w:val="nil"/>
              <w:right w:val="nil"/>
            </w:tcBorders>
            <w:shd w:val="clear" w:color="auto" w:fill="D9D9D9"/>
            <w:hideMark/>
          </w:tcPr>
          <w:p w14:paraId="3F4C0D30" w14:textId="77777777" w:rsidR="009D18E1" w:rsidRPr="00E4044F" w:rsidRDefault="009D18E1" w:rsidP="006F2300">
            <w:pPr>
              <w:jc w:val="left"/>
              <w:rPr>
                <w:sz w:val="16"/>
                <w:szCs w:val="16"/>
              </w:rPr>
            </w:pPr>
            <w:r>
              <w:rPr>
                <w:sz w:val="16"/>
                <w:szCs w:val="16"/>
              </w:rPr>
              <w:t>24 H</w:t>
            </w:r>
            <w:r w:rsidRPr="00E4044F">
              <w:rPr>
                <w:sz w:val="16"/>
                <w:szCs w:val="16"/>
              </w:rPr>
              <w:t>rs</w:t>
            </w:r>
          </w:p>
        </w:tc>
        <w:tc>
          <w:tcPr>
            <w:tcW w:w="669" w:type="dxa"/>
            <w:tcBorders>
              <w:top w:val="nil"/>
              <w:left w:val="nil"/>
              <w:bottom w:val="nil"/>
              <w:right w:val="nil"/>
            </w:tcBorders>
            <w:shd w:val="clear" w:color="auto" w:fill="D9D9D9"/>
            <w:hideMark/>
          </w:tcPr>
          <w:p w14:paraId="63A2C433" w14:textId="77777777" w:rsidR="009D18E1" w:rsidRPr="00E4044F" w:rsidRDefault="009D18E1" w:rsidP="006F2300">
            <w:pPr>
              <w:jc w:val="left"/>
              <w:rPr>
                <w:sz w:val="16"/>
                <w:szCs w:val="16"/>
              </w:rPr>
            </w:pPr>
            <w:r>
              <w:rPr>
                <w:sz w:val="16"/>
                <w:szCs w:val="16"/>
              </w:rPr>
              <w:t>72 H</w:t>
            </w:r>
            <w:r w:rsidRPr="00E4044F">
              <w:rPr>
                <w:sz w:val="16"/>
                <w:szCs w:val="16"/>
              </w:rPr>
              <w:t>rs</w:t>
            </w:r>
          </w:p>
        </w:tc>
        <w:tc>
          <w:tcPr>
            <w:tcW w:w="649" w:type="dxa"/>
            <w:tcBorders>
              <w:top w:val="nil"/>
              <w:left w:val="nil"/>
              <w:bottom w:val="nil"/>
              <w:right w:val="nil"/>
            </w:tcBorders>
            <w:shd w:val="clear" w:color="auto" w:fill="D9D9D9"/>
          </w:tcPr>
          <w:p w14:paraId="764DC997" w14:textId="71A11051" w:rsidR="009D18E1" w:rsidRPr="00E4044F" w:rsidRDefault="009D18E1" w:rsidP="006F2300">
            <w:pPr>
              <w:jc w:val="left"/>
              <w:rPr>
                <w:sz w:val="16"/>
                <w:szCs w:val="16"/>
              </w:rPr>
            </w:pPr>
            <w:r w:rsidRPr="00E4044F">
              <w:rPr>
                <w:sz w:val="16"/>
                <w:szCs w:val="16"/>
              </w:rPr>
              <w:t>5 Days***</w:t>
            </w:r>
          </w:p>
        </w:tc>
      </w:tr>
    </w:tbl>
    <w:p w14:paraId="2A2023E3" w14:textId="77777777" w:rsidR="009D18E1" w:rsidRDefault="009D18E1" w:rsidP="002C088B"/>
    <w:p w14:paraId="3F85CC19" w14:textId="6CEF0F05" w:rsidR="009D18E1" w:rsidRDefault="009D18E1" w:rsidP="002C088B">
      <w:r>
        <w:t>Non-business hours</w:t>
      </w:r>
    </w:p>
    <w:tbl>
      <w:tblPr>
        <w:tblStyle w:val="TableGrid"/>
        <w:tblW w:w="4820"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170"/>
        <w:gridCol w:w="738"/>
        <w:gridCol w:w="738"/>
        <w:gridCol w:w="738"/>
        <w:gridCol w:w="738"/>
        <w:gridCol w:w="698"/>
      </w:tblGrid>
      <w:tr w:rsidR="009D18E1" w14:paraId="115B4914" w14:textId="77777777" w:rsidTr="009D18E1">
        <w:trPr>
          <w:cantSplit/>
          <w:trHeight w:val="591"/>
          <w:tblCellSpacing w:w="20" w:type="dxa"/>
        </w:trPr>
        <w:tc>
          <w:tcPr>
            <w:tcW w:w="1110" w:type="dxa"/>
            <w:tcBorders>
              <w:top w:val="nil"/>
              <w:left w:val="nil"/>
              <w:bottom w:val="nil"/>
              <w:right w:val="nil"/>
            </w:tcBorders>
            <w:shd w:val="clear" w:color="auto" w:fill="565A5C"/>
            <w:vAlign w:val="center"/>
            <w:hideMark/>
          </w:tcPr>
          <w:p w14:paraId="4A0B8BD4" w14:textId="77777777" w:rsidR="009D18E1" w:rsidRPr="00A239AD" w:rsidRDefault="009D18E1" w:rsidP="006F2300">
            <w:pPr>
              <w:rPr>
                <w:color w:val="FFFFFF" w:themeColor="background1"/>
                <w:sz w:val="14"/>
                <w:szCs w:val="14"/>
              </w:rPr>
            </w:pPr>
            <w:r w:rsidRPr="00A239AD">
              <w:rPr>
                <w:color w:val="FFFFFF" w:themeColor="background1"/>
                <w:sz w:val="14"/>
                <w:szCs w:val="14"/>
              </w:rPr>
              <w:t>Description</w:t>
            </w:r>
          </w:p>
        </w:tc>
        <w:tc>
          <w:tcPr>
            <w:tcW w:w="698" w:type="dxa"/>
            <w:tcBorders>
              <w:top w:val="nil"/>
              <w:left w:val="nil"/>
              <w:bottom w:val="nil"/>
              <w:right w:val="nil"/>
            </w:tcBorders>
            <w:shd w:val="clear" w:color="auto" w:fill="565A5C"/>
            <w:vAlign w:val="center"/>
            <w:hideMark/>
          </w:tcPr>
          <w:p w14:paraId="38002307" w14:textId="77777777" w:rsidR="009D18E1" w:rsidRPr="00A239AD" w:rsidRDefault="009D18E1" w:rsidP="006F2300">
            <w:pPr>
              <w:rPr>
                <w:color w:val="FFFFFF" w:themeColor="background1"/>
                <w:sz w:val="14"/>
                <w:szCs w:val="14"/>
              </w:rPr>
            </w:pPr>
            <w:r w:rsidRPr="00A239AD">
              <w:rPr>
                <w:rFonts w:cs="Arial"/>
                <w:color w:val="FFFFFF" w:themeColor="background1"/>
                <w:sz w:val="14"/>
                <w:szCs w:val="14"/>
              </w:rPr>
              <w:t xml:space="preserve">Priority </w:t>
            </w:r>
            <w:r w:rsidRPr="00A239AD">
              <w:rPr>
                <w:color w:val="FFFFFF" w:themeColor="background1"/>
                <w:sz w:val="14"/>
                <w:szCs w:val="14"/>
              </w:rPr>
              <w:t>1</w:t>
            </w:r>
          </w:p>
        </w:tc>
        <w:tc>
          <w:tcPr>
            <w:tcW w:w="698" w:type="dxa"/>
            <w:tcBorders>
              <w:top w:val="nil"/>
              <w:left w:val="nil"/>
              <w:bottom w:val="nil"/>
              <w:right w:val="nil"/>
            </w:tcBorders>
            <w:shd w:val="clear" w:color="auto" w:fill="565A5C"/>
            <w:vAlign w:val="center"/>
            <w:hideMark/>
          </w:tcPr>
          <w:p w14:paraId="784C834E" w14:textId="77777777" w:rsidR="009D18E1" w:rsidRPr="00A239AD" w:rsidRDefault="009D18E1" w:rsidP="006F2300">
            <w:pPr>
              <w:rPr>
                <w:color w:val="FFFFFF" w:themeColor="background1"/>
                <w:sz w:val="14"/>
                <w:szCs w:val="14"/>
              </w:rPr>
            </w:pPr>
            <w:r w:rsidRPr="00A239AD">
              <w:rPr>
                <w:rFonts w:cs="Arial"/>
                <w:color w:val="FFFFFF" w:themeColor="background1"/>
                <w:sz w:val="14"/>
                <w:szCs w:val="14"/>
              </w:rPr>
              <w:t xml:space="preserve">Priority </w:t>
            </w:r>
            <w:r w:rsidRPr="00A239AD">
              <w:rPr>
                <w:color w:val="FFFFFF" w:themeColor="background1"/>
                <w:sz w:val="14"/>
                <w:szCs w:val="14"/>
              </w:rPr>
              <w:t>2</w:t>
            </w:r>
          </w:p>
        </w:tc>
        <w:tc>
          <w:tcPr>
            <w:tcW w:w="698" w:type="dxa"/>
            <w:tcBorders>
              <w:top w:val="nil"/>
              <w:left w:val="nil"/>
              <w:bottom w:val="nil"/>
              <w:right w:val="nil"/>
            </w:tcBorders>
            <w:shd w:val="clear" w:color="auto" w:fill="565A5C"/>
            <w:vAlign w:val="center"/>
            <w:hideMark/>
          </w:tcPr>
          <w:p w14:paraId="2A563748" w14:textId="77777777" w:rsidR="009D18E1" w:rsidRPr="00A239AD" w:rsidRDefault="009D18E1" w:rsidP="006F2300">
            <w:pPr>
              <w:rPr>
                <w:color w:val="FFFFFF" w:themeColor="background1"/>
                <w:sz w:val="14"/>
                <w:szCs w:val="14"/>
              </w:rPr>
            </w:pPr>
            <w:r w:rsidRPr="00A239AD">
              <w:rPr>
                <w:rFonts w:cs="Arial"/>
                <w:color w:val="FFFFFF" w:themeColor="background1"/>
                <w:sz w:val="14"/>
                <w:szCs w:val="14"/>
              </w:rPr>
              <w:t xml:space="preserve">Priority </w:t>
            </w:r>
            <w:r w:rsidRPr="00A239AD">
              <w:rPr>
                <w:color w:val="FFFFFF" w:themeColor="background1"/>
                <w:sz w:val="14"/>
                <w:szCs w:val="14"/>
              </w:rPr>
              <w:t>3</w:t>
            </w:r>
          </w:p>
        </w:tc>
        <w:tc>
          <w:tcPr>
            <w:tcW w:w="698" w:type="dxa"/>
            <w:tcBorders>
              <w:top w:val="nil"/>
              <w:left w:val="nil"/>
              <w:bottom w:val="nil"/>
              <w:right w:val="nil"/>
            </w:tcBorders>
            <w:shd w:val="clear" w:color="auto" w:fill="565A5C"/>
            <w:vAlign w:val="center"/>
            <w:hideMark/>
          </w:tcPr>
          <w:p w14:paraId="48938705" w14:textId="77777777" w:rsidR="009D18E1" w:rsidRPr="00A239AD" w:rsidRDefault="009D18E1" w:rsidP="006F2300">
            <w:pPr>
              <w:rPr>
                <w:color w:val="FFFFFF" w:themeColor="background1"/>
                <w:sz w:val="14"/>
                <w:szCs w:val="14"/>
              </w:rPr>
            </w:pPr>
            <w:r w:rsidRPr="00A239AD">
              <w:rPr>
                <w:rFonts w:cs="Arial"/>
                <w:color w:val="FFFFFF" w:themeColor="background1"/>
                <w:sz w:val="14"/>
                <w:szCs w:val="14"/>
              </w:rPr>
              <w:t xml:space="preserve">Priority </w:t>
            </w:r>
            <w:r w:rsidRPr="00A239AD">
              <w:rPr>
                <w:color w:val="FFFFFF" w:themeColor="background1"/>
                <w:sz w:val="14"/>
                <w:szCs w:val="14"/>
              </w:rPr>
              <w:t>4</w:t>
            </w:r>
          </w:p>
        </w:tc>
        <w:tc>
          <w:tcPr>
            <w:tcW w:w="638" w:type="dxa"/>
            <w:tcBorders>
              <w:top w:val="nil"/>
              <w:left w:val="nil"/>
              <w:bottom w:val="nil"/>
              <w:right w:val="nil"/>
            </w:tcBorders>
            <w:shd w:val="clear" w:color="auto" w:fill="565A5C"/>
            <w:vAlign w:val="center"/>
            <w:hideMark/>
          </w:tcPr>
          <w:p w14:paraId="5EAF97B1" w14:textId="77777777" w:rsidR="009D18E1" w:rsidRPr="00A239AD" w:rsidRDefault="009D18E1" w:rsidP="006F2300">
            <w:pPr>
              <w:rPr>
                <w:color w:val="FFFFFF" w:themeColor="background1"/>
                <w:sz w:val="14"/>
                <w:szCs w:val="14"/>
              </w:rPr>
            </w:pPr>
            <w:r w:rsidRPr="00A239AD">
              <w:rPr>
                <w:rFonts w:cs="Arial"/>
                <w:color w:val="FFFFFF" w:themeColor="background1"/>
                <w:sz w:val="14"/>
                <w:szCs w:val="14"/>
              </w:rPr>
              <w:t xml:space="preserve">Priority </w:t>
            </w:r>
            <w:r w:rsidRPr="00A239AD">
              <w:rPr>
                <w:color w:val="FFFFFF" w:themeColor="background1"/>
                <w:sz w:val="14"/>
                <w:szCs w:val="14"/>
              </w:rPr>
              <w:t>5</w:t>
            </w:r>
          </w:p>
        </w:tc>
      </w:tr>
      <w:tr w:rsidR="009D18E1" w14:paraId="39BA8F5E" w14:textId="77777777" w:rsidTr="009D18E1">
        <w:trPr>
          <w:trHeight w:val="158"/>
          <w:tblCellSpacing w:w="20" w:type="dxa"/>
        </w:trPr>
        <w:tc>
          <w:tcPr>
            <w:tcW w:w="1110" w:type="dxa"/>
            <w:tcBorders>
              <w:top w:val="nil"/>
              <w:left w:val="nil"/>
              <w:bottom w:val="nil"/>
              <w:right w:val="nil"/>
            </w:tcBorders>
            <w:shd w:val="clear" w:color="auto" w:fill="D9D9D9"/>
            <w:hideMark/>
          </w:tcPr>
          <w:p w14:paraId="44247FCE" w14:textId="77777777" w:rsidR="009D18E1" w:rsidRPr="00E4044F" w:rsidRDefault="009D18E1" w:rsidP="006F2300">
            <w:pPr>
              <w:jc w:val="left"/>
              <w:rPr>
                <w:rFonts w:ascii="Calibri" w:hAnsi="Calibri" w:cs="Helvetica-Narrow"/>
                <w:sz w:val="16"/>
                <w:szCs w:val="16"/>
              </w:rPr>
            </w:pPr>
            <w:r w:rsidRPr="00E4044F">
              <w:rPr>
                <w:sz w:val="16"/>
                <w:szCs w:val="16"/>
              </w:rPr>
              <w:t>Faults &amp; Technical Queries Acknowledgement*</w:t>
            </w:r>
          </w:p>
        </w:tc>
        <w:tc>
          <w:tcPr>
            <w:tcW w:w="698" w:type="dxa"/>
            <w:tcBorders>
              <w:top w:val="nil"/>
              <w:left w:val="nil"/>
              <w:bottom w:val="nil"/>
              <w:right w:val="nil"/>
            </w:tcBorders>
            <w:shd w:val="clear" w:color="auto" w:fill="D9D9D9"/>
            <w:hideMark/>
          </w:tcPr>
          <w:p w14:paraId="4747C918" w14:textId="77777777" w:rsidR="009D18E1" w:rsidRPr="00E4044F" w:rsidRDefault="009D18E1" w:rsidP="006F2300">
            <w:pPr>
              <w:jc w:val="left"/>
              <w:rPr>
                <w:sz w:val="16"/>
                <w:szCs w:val="16"/>
              </w:rPr>
            </w:pPr>
            <w:r w:rsidRPr="00E4044F">
              <w:rPr>
                <w:sz w:val="16"/>
                <w:szCs w:val="16"/>
              </w:rPr>
              <w:t>60 Mins</w:t>
            </w:r>
          </w:p>
        </w:tc>
        <w:tc>
          <w:tcPr>
            <w:tcW w:w="698" w:type="dxa"/>
            <w:tcBorders>
              <w:top w:val="nil"/>
              <w:left w:val="nil"/>
              <w:bottom w:val="nil"/>
              <w:right w:val="nil"/>
            </w:tcBorders>
            <w:shd w:val="clear" w:color="auto" w:fill="D9D9D9"/>
            <w:hideMark/>
          </w:tcPr>
          <w:p w14:paraId="27FA6D98" w14:textId="77777777" w:rsidR="009D18E1" w:rsidRPr="00E4044F" w:rsidRDefault="009D18E1" w:rsidP="006F2300">
            <w:pPr>
              <w:jc w:val="left"/>
              <w:rPr>
                <w:sz w:val="16"/>
                <w:szCs w:val="16"/>
              </w:rPr>
            </w:pPr>
            <w:r w:rsidRPr="00E4044F">
              <w:rPr>
                <w:sz w:val="16"/>
                <w:szCs w:val="16"/>
              </w:rPr>
              <w:t>60 Mins</w:t>
            </w:r>
          </w:p>
        </w:tc>
        <w:tc>
          <w:tcPr>
            <w:tcW w:w="698" w:type="dxa"/>
            <w:tcBorders>
              <w:top w:val="nil"/>
              <w:left w:val="nil"/>
              <w:bottom w:val="nil"/>
              <w:right w:val="nil"/>
            </w:tcBorders>
            <w:shd w:val="clear" w:color="auto" w:fill="D9D9D9"/>
            <w:hideMark/>
          </w:tcPr>
          <w:p w14:paraId="4D4B2BD2" w14:textId="77777777" w:rsidR="009D18E1" w:rsidRPr="00E4044F" w:rsidRDefault="009D18E1" w:rsidP="006F2300">
            <w:pPr>
              <w:jc w:val="left"/>
              <w:rPr>
                <w:sz w:val="16"/>
                <w:szCs w:val="16"/>
              </w:rPr>
            </w:pPr>
            <w:r w:rsidRPr="00E4044F">
              <w:rPr>
                <w:sz w:val="16"/>
                <w:szCs w:val="16"/>
              </w:rPr>
              <w:t>Auto-mated Email Res-ponse</w:t>
            </w:r>
          </w:p>
        </w:tc>
        <w:tc>
          <w:tcPr>
            <w:tcW w:w="698" w:type="dxa"/>
            <w:tcBorders>
              <w:top w:val="nil"/>
              <w:left w:val="nil"/>
              <w:bottom w:val="nil"/>
              <w:right w:val="nil"/>
            </w:tcBorders>
            <w:shd w:val="clear" w:color="auto" w:fill="D9D9D9"/>
            <w:hideMark/>
          </w:tcPr>
          <w:p w14:paraId="57DCFBB1" w14:textId="77777777" w:rsidR="009D18E1" w:rsidRPr="00E4044F" w:rsidRDefault="009D18E1" w:rsidP="006F2300">
            <w:pPr>
              <w:jc w:val="left"/>
              <w:rPr>
                <w:sz w:val="16"/>
                <w:szCs w:val="16"/>
              </w:rPr>
            </w:pPr>
            <w:r w:rsidRPr="00E4044F">
              <w:rPr>
                <w:sz w:val="16"/>
                <w:szCs w:val="16"/>
              </w:rPr>
              <w:t>Auto-mated Email Res-ponse</w:t>
            </w:r>
          </w:p>
        </w:tc>
        <w:tc>
          <w:tcPr>
            <w:tcW w:w="638" w:type="dxa"/>
            <w:tcBorders>
              <w:top w:val="nil"/>
              <w:left w:val="nil"/>
              <w:bottom w:val="nil"/>
              <w:right w:val="nil"/>
            </w:tcBorders>
            <w:shd w:val="clear" w:color="auto" w:fill="D9D9D9"/>
            <w:hideMark/>
          </w:tcPr>
          <w:p w14:paraId="53B09E6D" w14:textId="77777777" w:rsidR="009D18E1" w:rsidRPr="00E4044F" w:rsidRDefault="009D18E1" w:rsidP="006F2300">
            <w:pPr>
              <w:jc w:val="left"/>
              <w:rPr>
                <w:sz w:val="16"/>
                <w:szCs w:val="16"/>
              </w:rPr>
            </w:pPr>
            <w:r w:rsidRPr="00E4044F">
              <w:rPr>
                <w:sz w:val="16"/>
                <w:szCs w:val="16"/>
              </w:rPr>
              <w:t>Automated Email Res-ponse</w:t>
            </w:r>
          </w:p>
        </w:tc>
      </w:tr>
      <w:tr w:rsidR="009D18E1" w14:paraId="79048A3C" w14:textId="77777777" w:rsidTr="009D18E1">
        <w:trPr>
          <w:trHeight w:val="158"/>
          <w:tblCellSpacing w:w="20" w:type="dxa"/>
        </w:trPr>
        <w:tc>
          <w:tcPr>
            <w:tcW w:w="1110" w:type="dxa"/>
            <w:tcBorders>
              <w:top w:val="nil"/>
              <w:left w:val="nil"/>
              <w:bottom w:val="nil"/>
              <w:right w:val="nil"/>
            </w:tcBorders>
            <w:hideMark/>
          </w:tcPr>
          <w:p w14:paraId="33F010AB" w14:textId="77777777" w:rsidR="009D18E1" w:rsidRPr="00E4044F" w:rsidRDefault="009D18E1" w:rsidP="006F2300">
            <w:pPr>
              <w:jc w:val="left"/>
              <w:rPr>
                <w:sz w:val="16"/>
                <w:szCs w:val="16"/>
              </w:rPr>
            </w:pPr>
            <w:r w:rsidRPr="00E4044F">
              <w:rPr>
                <w:sz w:val="16"/>
                <w:szCs w:val="16"/>
              </w:rPr>
              <w:t>Remedial Engineer Actions Commence</w:t>
            </w:r>
          </w:p>
        </w:tc>
        <w:tc>
          <w:tcPr>
            <w:tcW w:w="698" w:type="dxa"/>
            <w:tcBorders>
              <w:top w:val="nil"/>
              <w:left w:val="nil"/>
              <w:bottom w:val="nil"/>
              <w:right w:val="nil"/>
            </w:tcBorders>
            <w:hideMark/>
          </w:tcPr>
          <w:p w14:paraId="1BBC465E" w14:textId="77777777" w:rsidR="009D18E1" w:rsidRPr="00E4044F" w:rsidRDefault="009D18E1" w:rsidP="006F2300">
            <w:pPr>
              <w:jc w:val="left"/>
              <w:rPr>
                <w:sz w:val="16"/>
                <w:szCs w:val="16"/>
              </w:rPr>
            </w:pPr>
            <w:r>
              <w:rPr>
                <w:sz w:val="16"/>
                <w:szCs w:val="16"/>
              </w:rPr>
              <w:t>2 H</w:t>
            </w:r>
            <w:r w:rsidRPr="00E4044F">
              <w:rPr>
                <w:sz w:val="16"/>
                <w:szCs w:val="16"/>
              </w:rPr>
              <w:t>rs</w:t>
            </w:r>
          </w:p>
        </w:tc>
        <w:tc>
          <w:tcPr>
            <w:tcW w:w="698" w:type="dxa"/>
            <w:tcBorders>
              <w:top w:val="nil"/>
              <w:left w:val="nil"/>
              <w:bottom w:val="nil"/>
              <w:right w:val="nil"/>
            </w:tcBorders>
            <w:hideMark/>
          </w:tcPr>
          <w:p w14:paraId="20E43A40" w14:textId="77777777" w:rsidR="009D18E1" w:rsidRPr="00E4044F" w:rsidRDefault="009D18E1" w:rsidP="006F2300">
            <w:pPr>
              <w:jc w:val="left"/>
              <w:rPr>
                <w:sz w:val="16"/>
                <w:szCs w:val="16"/>
              </w:rPr>
            </w:pPr>
            <w:r>
              <w:rPr>
                <w:sz w:val="16"/>
                <w:szCs w:val="16"/>
              </w:rPr>
              <w:t>2 Hr</w:t>
            </w:r>
            <w:r w:rsidRPr="00E4044F">
              <w:rPr>
                <w:sz w:val="16"/>
                <w:szCs w:val="16"/>
              </w:rPr>
              <w:t>s</w:t>
            </w:r>
          </w:p>
        </w:tc>
        <w:tc>
          <w:tcPr>
            <w:tcW w:w="698" w:type="dxa"/>
            <w:tcBorders>
              <w:top w:val="nil"/>
              <w:left w:val="nil"/>
              <w:bottom w:val="nil"/>
              <w:right w:val="nil"/>
            </w:tcBorders>
            <w:hideMark/>
          </w:tcPr>
          <w:p w14:paraId="6E9B6245" w14:textId="77777777" w:rsidR="009D18E1" w:rsidRPr="00E4044F" w:rsidRDefault="009D18E1" w:rsidP="006F2300">
            <w:pPr>
              <w:jc w:val="left"/>
              <w:rPr>
                <w:sz w:val="16"/>
                <w:szCs w:val="16"/>
              </w:rPr>
            </w:pPr>
            <w:r w:rsidRPr="00E4044F">
              <w:rPr>
                <w:sz w:val="16"/>
                <w:szCs w:val="16"/>
              </w:rPr>
              <w:t>N/A</w:t>
            </w:r>
          </w:p>
        </w:tc>
        <w:tc>
          <w:tcPr>
            <w:tcW w:w="698" w:type="dxa"/>
            <w:tcBorders>
              <w:top w:val="nil"/>
              <w:left w:val="nil"/>
              <w:bottom w:val="nil"/>
              <w:right w:val="nil"/>
            </w:tcBorders>
            <w:hideMark/>
          </w:tcPr>
          <w:p w14:paraId="5A15D3AC" w14:textId="77777777" w:rsidR="009D18E1" w:rsidRPr="00E4044F" w:rsidRDefault="009D18E1" w:rsidP="006F2300">
            <w:pPr>
              <w:jc w:val="left"/>
              <w:rPr>
                <w:sz w:val="16"/>
                <w:szCs w:val="16"/>
              </w:rPr>
            </w:pPr>
            <w:r w:rsidRPr="00E4044F">
              <w:rPr>
                <w:sz w:val="16"/>
                <w:szCs w:val="16"/>
              </w:rPr>
              <w:t>N/A</w:t>
            </w:r>
          </w:p>
        </w:tc>
        <w:tc>
          <w:tcPr>
            <w:tcW w:w="638" w:type="dxa"/>
            <w:tcBorders>
              <w:top w:val="nil"/>
              <w:left w:val="nil"/>
              <w:bottom w:val="nil"/>
              <w:right w:val="nil"/>
            </w:tcBorders>
            <w:hideMark/>
          </w:tcPr>
          <w:p w14:paraId="126648D3" w14:textId="77777777" w:rsidR="009D18E1" w:rsidRPr="00E4044F" w:rsidRDefault="009D18E1" w:rsidP="006F2300">
            <w:pPr>
              <w:jc w:val="left"/>
              <w:rPr>
                <w:sz w:val="16"/>
                <w:szCs w:val="16"/>
              </w:rPr>
            </w:pPr>
            <w:r w:rsidRPr="00E4044F">
              <w:rPr>
                <w:sz w:val="16"/>
                <w:szCs w:val="16"/>
              </w:rPr>
              <w:t>N/A</w:t>
            </w:r>
          </w:p>
        </w:tc>
      </w:tr>
      <w:tr w:rsidR="009D18E1" w14:paraId="367A29DE" w14:textId="77777777" w:rsidTr="009D18E1">
        <w:trPr>
          <w:trHeight w:val="158"/>
          <w:tblCellSpacing w:w="20" w:type="dxa"/>
        </w:trPr>
        <w:tc>
          <w:tcPr>
            <w:tcW w:w="1110" w:type="dxa"/>
            <w:tcBorders>
              <w:top w:val="nil"/>
              <w:left w:val="nil"/>
              <w:bottom w:val="nil"/>
              <w:right w:val="nil"/>
            </w:tcBorders>
            <w:shd w:val="clear" w:color="auto" w:fill="D9D9D9"/>
            <w:hideMark/>
          </w:tcPr>
          <w:p w14:paraId="0944BC5B" w14:textId="77777777" w:rsidR="009D18E1" w:rsidRPr="00E4044F" w:rsidRDefault="009D18E1" w:rsidP="006F2300">
            <w:pPr>
              <w:jc w:val="left"/>
              <w:rPr>
                <w:rFonts w:ascii="Calibri" w:hAnsi="Calibri" w:cs="Helvetica-Narrow"/>
                <w:sz w:val="16"/>
                <w:szCs w:val="16"/>
              </w:rPr>
            </w:pPr>
            <w:r w:rsidRPr="002D1AE8">
              <w:rPr>
                <w:sz w:val="12"/>
                <w:szCs w:val="12"/>
              </w:rPr>
              <w:t>Time to Resolve</w:t>
            </w:r>
            <w:r w:rsidRPr="00E4044F">
              <w:rPr>
                <w:sz w:val="16"/>
                <w:szCs w:val="16"/>
              </w:rPr>
              <w:t xml:space="preserve"> </w:t>
            </w:r>
            <w:r w:rsidRPr="002D1AE8">
              <w:rPr>
                <w:sz w:val="12"/>
                <w:szCs w:val="12"/>
              </w:rPr>
              <w:t>Fault**</w:t>
            </w:r>
          </w:p>
        </w:tc>
        <w:tc>
          <w:tcPr>
            <w:tcW w:w="698" w:type="dxa"/>
            <w:tcBorders>
              <w:top w:val="nil"/>
              <w:left w:val="nil"/>
              <w:bottom w:val="nil"/>
              <w:right w:val="nil"/>
            </w:tcBorders>
            <w:shd w:val="clear" w:color="auto" w:fill="D9D9D9"/>
            <w:hideMark/>
          </w:tcPr>
          <w:p w14:paraId="2CFAA1B6" w14:textId="77777777" w:rsidR="009D18E1" w:rsidRPr="00E4044F" w:rsidRDefault="009D18E1" w:rsidP="006F2300">
            <w:pPr>
              <w:jc w:val="left"/>
              <w:rPr>
                <w:sz w:val="16"/>
                <w:szCs w:val="16"/>
              </w:rPr>
            </w:pPr>
            <w:r>
              <w:rPr>
                <w:sz w:val="16"/>
                <w:szCs w:val="16"/>
              </w:rPr>
              <w:t>5 H</w:t>
            </w:r>
            <w:r w:rsidRPr="00E4044F">
              <w:rPr>
                <w:sz w:val="16"/>
                <w:szCs w:val="16"/>
              </w:rPr>
              <w:t>rs</w:t>
            </w:r>
          </w:p>
        </w:tc>
        <w:tc>
          <w:tcPr>
            <w:tcW w:w="698" w:type="dxa"/>
            <w:tcBorders>
              <w:top w:val="nil"/>
              <w:left w:val="nil"/>
              <w:bottom w:val="nil"/>
              <w:right w:val="nil"/>
            </w:tcBorders>
            <w:shd w:val="clear" w:color="auto" w:fill="D9D9D9"/>
            <w:hideMark/>
          </w:tcPr>
          <w:p w14:paraId="261A94DE" w14:textId="77777777" w:rsidR="009D18E1" w:rsidRPr="00E4044F" w:rsidRDefault="009D18E1" w:rsidP="006F2300">
            <w:pPr>
              <w:jc w:val="left"/>
              <w:rPr>
                <w:sz w:val="16"/>
                <w:szCs w:val="16"/>
              </w:rPr>
            </w:pPr>
            <w:r>
              <w:rPr>
                <w:sz w:val="16"/>
                <w:szCs w:val="16"/>
              </w:rPr>
              <w:t>5 H</w:t>
            </w:r>
            <w:r w:rsidRPr="00E4044F">
              <w:rPr>
                <w:sz w:val="16"/>
                <w:szCs w:val="16"/>
              </w:rPr>
              <w:t>rs</w:t>
            </w:r>
          </w:p>
        </w:tc>
        <w:tc>
          <w:tcPr>
            <w:tcW w:w="698" w:type="dxa"/>
            <w:tcBorders>
              <w:top w:val="nil"/>
              <w:left w:val="nil"/>
              <w:bottom w:val="nil"/>
              <w:right w:val="nil"/>
            </w:tcBorders>
            <w:shd w:val="clear" w:color="auto" w:fill="D9D9D9"/>
            <w:hideMark/>
          </w:tcPr>
          <w:p w14:paraId="64CDC2A4" w14:textId="77777777" w:rsidR="009D18E1" w:rsidRPr="00E4044F" w:rsidRDefault="009D18E1" w:rsidP="006F2300">
            <w:pPr>
              <w:jc w:val="left"/>
              <w:rPr>
                <w:sz w:val="16"/>
                <w:szCs w:val="16"/>
              </w:rPr>
            </w:pPr>
            <w:r w:rsidRPr="00E4044F">
              <w:rPr>
                <w:sz w:val="16"/>
                <w:szCs w:val="16"/>
              </w:rPr>
              <w:t>N/A</w:t>
            </w:r>
          </w:p>
        </w:tc>
        <w:tc>
          <w:tcPr>
            <w:tcW w:w="698" w:type="dxa"/>
            <w:tcBorders>
              <w:top w:val="nil"/>
              <w:left w:val="nil"/>
              <w:bottom w:val="nil"/>
              <w:right w:val="nil"/>
            </w:tcBorders>
            <w:shd w:val="clear" w:color="auto" w:fill="D9D9D9"/>
            <w:hideMark/>
          </w:tcPr>
          <w:p w14:paraId="44B0FE0C" w14:textId="77777777" w:rsidR="009D18E1" w:rsidRPr="00E4044F" w:rsidRDefault="009D18E1" w:rsidP="006F2300">
            <w:pPr>
              <w:jc w:val="left"/>
              <w:rPr>
                <w:sz w:val="16"/>
                <w:szCs w:val="16"/>
              </w:rPr>
            </w:pPr>
            <w:r w:rsidRPr="00E4044F">
              <w:rPr>
                <w:sz w:val="16"/>
                <w:szCs w:val="16"/>
              </w:rPr>
              <w:t>N/A</w:t>
            </w:r>
          </w:p>
        </w:tc>
        <w:tc>
          <w:tcPr>
            <w:tcW w:w="638" w:type="dxa"/>
            <w:tcBorders>
              <w:top w:val="nil"/>
              <w:left w:val="nil"/>
              <w:bottom w:val="nil"/>
              <w:right w:val="nil"/>
            </w:tcBorders>
            <w:shd w:val="clear" w:color="auto" w:fill="D9D9D9"/>
          </w:tcPr>
          <w:p w14:paraId="550EDE7C" w14:textId="4742D98E" w:rsidR="009D18E1" w:rsidRPr="00E4044F" w:rsidRDefault="009D18E1" w:rsidP="006F2300">
            <w:pPr>
              <w:jc w:val="left"/>
              <w:rPr>
                <w:sz w:val="16"/>
                <w:szCs w:val="16"/>
              </w:rPr>
            </w:pPr>
            <w:r w:rsidRPr="00E4044F">
              <w:rPr>
                <w:sz w:val="16"/>
                <w:szCs w:val="16"/>
              </w:rPr>
              <w:t>N/A</w:t>
            </w:r>
          </w:p>
        </w:tc>
      </w:tr>
    </w:tbl>
    <w:p w14:paraId="4C2FC766" w14:textId="77777777" w:rsidR="00BA014F" w:rsidRDefault="00BA014F" w:rsidP="002C088B"/>
    <w:p w14:paraId="07A4F5EE" w14:textId="224BACC5" w:rsidR="002C088B" w:rsidRDefault="002C088B" w:rsidP="002C088B">
      <w:r>
        <w:t>Hours of response is dependant on Service Level (Bronze, Silver, Silver Plus, Gold)</w:t>
      </w:r>
    </w:p>
    <w:p w14:paraId="5E7B5B7D" w14:textId="77777777" w:rsidR="002C088B" w:rsidRPr="00E205D1" w:rsidRDefault="002C088B" w:rsidP="002C088B">
      <w:r w:rsidRPr="00E205D1">
        <w:t xml:space="preserve">All </w:t>
      </w:r>
      <w:r>
        <w:t>priority</w:t>
      </w:r>
      <w:r w:rsidRPr="00E205D1">
        <w:t xml:space="preserve"> 1 &amp; 2 faults should be raised via the tickets system then followed by a phone call. </w:t>
      </w:r>
    </w:p>
    <w:p w14:paraId="3D71B4CF" w14:textId="77777777" w:rsidR="002C088B" w:rsidRPr="004B6571" w:rsidRDefault="002C088B" w:rsidP="002C088B">
      <w:pPr>
        <w:rPr>
          <w:rStyle w:val="SubtleEmphasis"/>
          <w:i/>
          <w:color w:val="1E1E1E"/>
        </w:rPr>
      </w:pPr>
      <w:r w:rsidRPr="004B6571">
        <w:rPr>
          <w:rStyle w:val="SubtleEmphasis"/>
          <w:i/>
          <w:color w:val="1E1E1E"/>
        </w:rPr>
        <w:t xml:space="preserve">* Acknowledgement refers to an automated service which generates a response and alerts engineers of a service failure; or where there is dialogue between the client and the engineer. </w:t>
      </w:r>
    </w:p>
    <w:p w14:paraId="4E324057" w14:textId="77777777" w:rsidR="002C088B" w:rsidRPr="004B6571" w:rsidRDefault="002C088B" w:rsidP="002C088B">
      <w:pPr>
        <w:rPr>
          <w:rStyle w:val="SubtleEmphasis"/>
          <w:i/>
          <w:color w:val="1E1E1E"/>
        </w:rPr>
      </w:pPr>
      <w:r w:rsidRPr="004B6571">
        <w:rPr>
          <w:rStyle w:val="SubtleEmphasis"/>
          <w:i/>
          <w:color w:val="1E1E1E"/>
        </w:rPr>
        <w:t xml:space="preserve">** We will use reasonable endeavours to adhere to the TTRF guidelines. Where fault resolution involves third parties, or hardware replacement, then this is subject to the support contracts in place with those parties. </w:t>
      </w:r>
    </w:p>
    <w:p w14:paraId="78DB2CF5" w14:textId="41E5FD3E" w:rsidR="002C088B" w:rsidRPr="00180DAC" w:rsidRDefault="002C088B" w:rsidP="00BA014F">
      <w:pPr>
        <w:pStyle w:val="Heading3"/>
        <w:rPr>
          <w:bCs/>
        </w:rPr>
      </w:pPr>
      <w:r w:rsidRPr="00180DAC">
        <w:lastRenderedPageBreak/>
        <w:t xml:space="preserve">Fault </w:t>
      </w:r>
      <w:r w:rsidR="00BA014F">
        <w:t>d</w:t>
      </w:r>
      <w:r w:rsidRPr="00180DAC">
        <w:t>uration</w:t>
      </w:r>
    </w:p>
    <w:p w14:paraId="0B58ADAA" w14:textId="77777777" w:rsidR="002C088B" w:rsidRPr="00EF2473" w:rsidRDefault="002C088B" w:rsidP="002C088B">
      <w:r w:rsidRPr="00EF2473">
        <w:t xml:space="preserve">All faults recorded by the Network Management System will be reconciled against the corresponding fault ticket raised by the </w:t>
      </w:r>
      <w:r>
        <w:t>Technical Support</w:t>
      </w:r>
      <w:r w:rsidRPr="00EF2473">
        <w:t xml:space="preserve"> Centre. The exact fault duration will be calculated as the elapsed time between the fault being reported to the </w:t>
      </w:r>
      <w:r>
        <w:t>Technical Support</w:t>
      </w:r>
      <w:r w:rsidRPr="00EF2473">
        <w:t xml:space="preserve"> Centre and the time when Service is restored.</w:t>
      </w:r>
    </w:p>
    <w:p w14:paraId="640B1392" w14:textId="7B05BBE5" w:rsidR="002C088B" w:rsidRDefault="002C088B" w:rsidP="002C088B">
      <w:pPr>
        <w:pStyle w:val="Heading2"/>
        <w:numPr>
          <w:ilvl w:val="0"/>
          <w:numId w:val="32"/>
        </w:numPr>
        <w:ind w:left="357" w:hanging="357"/>
      </w:pPr>
      <w:r>
        <w:t>S</w:t>
      </w:r>
      <w:r w:rsidR="00BA014F">
        <w:t xml:space="preserve">ervice credits </w:t>
      </w:r>
    </w:p>
    <w:p w14:paraId="17FAA674" w14:textId="77777777" w:rsidR="002C088B" w:rsidRPr="00EC636A" w:rsidRDefault="002C088B" w:rsidP="00BA014F">
      <w:pPr>
        <w:pStyle w:val="Heading3"/>
      </w:pPr>
      <w:r>
        <w:t xml:space="preserve">Availability </w:t>
      </w:r>
    </w:p>
    <w:p w14:paraId="05D05E86" w14:textId="77777777" w:rsidR="002C088B" w:rsidRPr="004B6571" w:rsidRDefault="002C088B" w:rsidP="002C088B">
      <w:pPr>
        <w:rPr>
          <w:rFonts w:cs="Helvetica-Narrow"/>
        </w:rPr>
      </w:pPr>
      <w:r>
        <w:rPr>
          <w:rFonts w:cs="Helvetica-Narrow"/>
        </w:rPr>
        <w:t>The Service</w:t>
      </w:r>
      <w:r w:rsidRPr="00EF2473">
        <w:rPr>
          <w:rFonts w:cs="Helvetica-Narrow"/>
        </w:rPr>
        <w:t xml:space="preserve"> is “Available” when</w:t>
      </w:r>
      <w:r>
        <w:rPr>
          <w:rFonts w:cs="Helvetica-Narrow"/>
        </w:rPr>
        <w:t xml:space="preserve"> the </w:t>
      </w:r>
      <w:r>
        <w:t>Collaboration</w:t>
      </w:r>
      <w:r>
        <w:rPr>
          <w:rFonts w:cs="Helvetica-Narrow"/>
        </w:rPr>
        <w:t xml:space="preserve"> Platform</w:t>
      </w:r>
      <w:r>
        <w:t xml:space="preserve"> is able to deliver inbound and outbound calls.</w:t>
      </w:r>
    </w:p>
    <w:p w14:paraId="25C6FEDE" w14:textId="77777777" w:rsidR="002C088B" w:rsidRPr="00EF2473" w:rsidRDefault="002C088B" w:rsidP="002C088B">
      <w:r w:rsidRPr="00EF2473">
        <w:t xml:space="preserve">The following equation will be used to calculate Service Availability. References to hours are to the </w:t>
      </w:r>
      <w:r>
        <w:t>number of hours i</w:t>
      </w:r>
      <w:r w:rsidRPr="00EF2473">
        <w:t>n the applicable Monthly Review Period:</w:t>
      </w:r>
    </w:p>
    <w:p w14:paraId="5E2C495D" w14:textId="77777777" w:rsidR="002C088B" w:rsidRDefault="002C088B" w:rsidP="002C088B">
      <w:pPr>
        <w:jc w:val="left"/>
        <w:rPr>
          <w:bCs/>
        </w:rPr>
      </w:pPr>
      <w:r w:rsidRPr="00EF2473">
        <w:t>((Total hours – Total hours Unavailable)/Total hours) x 100</w:t>
      </w:r>
      <w:r>
        <w:t xml:space="preserve"> </w:t>
      </w:r>
    </w:p>
    <w:tbl>
      <w:tblPr>
        <w:tblStyle w:val="TableGrid"/>
        <w:tblW w:w="5013"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506"/>
        <w:gridCol w:w="2507"/>
      </w:tblGrid>
      <w:tr w:rsidR="002C088B" w:rsidRPr="00EF2473" w14:paraId="05B0182D" w14:textId="77777777" w:rsidTr="006F2300">
        <w:trPr>
          <w:trHeight w:val="252"/>
          <w:tblCellSpacing w:w="20" w:type="dxa"/>
        </w:trPr>
        <w:tc>
          <w:tcPr>
            <w:tcW w:w="2446" w:type="dxa"/>
            <w:shd w:val="clear" w:color="auto" w:fill="797979" w:themeFill="text1" w:themeFillTint="A6"/>
          </w:tcPr>
          <w:p w14:paraId="64074FE5" w14:textId="77777777" w:rsidR="002C088B" w:rsidRPr="002D1AE8" w:rsidRDefault="002C088B" w:rsidP="006F2300">
            <w:pPr>
              <w:jc w:val="left"/>
              <w:rPr>
                <w:color w:val="FFFFFF" w:themeColor="background1"/>
              </w:rPr>
            </w:pPr>
            <w:r w:rsidRPr="002D1AE8">
              <w:rPr>
                <w:color w:val="FFFFFF" w:themeColor="background1"/>
              </w:rPr>
              <w:t>Service Availability during Monthly Review Period (Switch Service)</w:t>
            </w:r>
          </w:p>
          <w:p w14:paraId="0790FF9A" w14:textId="77777777" w:rsidR="002C088B" w:rsidRPr="002D1AE8" w:rsidRDefault="002C088B" w:rsidP="006F2300">
            <w:pPr>
              <w:rPr>
                <w:color w:val="FFFFFF" w:themeColor="background1"/>
              </w:rPr>
            </w:pPr>
          </w:p>
        </w:tc>
        <w:tc>
          <w:tcPr>
            <w:tcW w:w="2447" w:type="dxa"/>
            <w:shd w:val="clear" w:color="auto" w:fill="797979" w:themeFill="text1" w:themeFillTint="A6"/>
          </w:tcPr>
          <w:p w14:paraId="60AA70A3" w14:textId="77777777" w:rsidR="002C088B" w:rsidRPr="002D1AE8" w:rsidRDefault="002C088B" w:rsidP="006F2300">
            <w:pPr>
              <w:rPr>
                <w:color w:val="FFFFFF" w:themeColor="background1"/>
              </w:rPr>
            </w:pPr>
            <w:r w:rsidRPr="002D1AE8">
              <w:rPr>
                <w:color w:val="FFFFFF" w:themeColor="background1"/>
              </w:rPr>
              <w:t>Service Credits as % of Monthly Rental Charge</w:t>
            </w:r>
          </w:p>
        </w:tc>
      </w:tr>
      <w:tr w:rsidR="002C088B" w:rsidRPr="00EF2473" w14:paraId="65EC787F" w14:textId="77777777" w:rsidTr="006F2300">
        <w:trPr>
          <w:trHeight w:val="268"/>
          <w:tblCellSpacing w:w="20" w:type="dxa"/>
        </w:trPr>
        <w:tc>
          <w:tcPr>
            <w:tcW w:w="2446" w:type="dxa"/>
            <w:shd w:val="clear" w:color="auto" w:fill="D9D9D9"/>
          </w:tcPr>
          <w:p w14:paraId="4F9C2C98" w14:textId="77777777" w:rsidR="002C088B" w:rsidRPr="002D1AE8" w:rsidRDefault="002C088B" w:rsidP="006F2300">
            <w:pPr>
              <w:rPr>
                <w:rFonts w:ascii="Calibri" w:hAnsi="Calibri"/>
              </w:rPr>
            </w:pPr>
            <w:r w:rsidRPr="002D1AE8">
              <w:t>&lt;99.99%-99.8%</w:t>
            </w:r>
          </w:p>
        </w:tc>
        <w:tc>
          <w:tcPr>
            <w:tcW w:w="2447" w:type="dxa"/>
            <w:shd w:val="clear" w:color="auto" w:fill="D9D9D9"/>
          </w:tcPr>
          <w:p w14:paraId="3567B08A" w14:textId="77777777" w:rsidR="002C088B" w:rsidRPr="002D1AE8" w:rsidRDefault="002C088B" w:rsidP="006F2300">
            <w:r w:rsidRPr="002D1AE8">
              <w:t>2%</w:t>
            </w:r>
          </w:p>
        </w:tc>
      </w:tr>
      <w:tr w:rsidR="002C088B" w:rsidRPr="00EF2473" w14:paraId="36D74CE2" w14:textId="77777777" w:rsidTr="006F2300">
        <w:trPr>
          <w:trHeight w:val="268"/>
          <w:tblCellSpacing w:w="20" w:type="dxa"/>
        </w:trPr>
        <w:tc>
          <w:tcPr>
            <w:tcW w:w="2446" w:type="dxa"/>
          </w:tcPr>
          <w:p w14:paraId="3BD77C39" w14:textId="77777777" w:rsidR="002C088B" w:rsidRPr="002D1AE8" w:rsidRDefault="002C088B" w:rsidP="006F2300">
            <w:pPr>
              <w:rPr>
                <w:rFonts w:ascii="Calibri" w:hAnsi="Calibri"/>
              </w:rPr>
            </w:pPr>
            <w:r w:rsidRPr="002D1AE8">
              <w:t>&lt;99.8%-99.5%</w:t>
            </w:r>
          </w:p>
        </w:tc>
        <w:tc>
          <w:tcPr>
            <w:tcW w:w="2447" w:type="dxa"/>
          </w:tcPr>
          <w:p w14:paraId="54C5799D" w14:textId="77777777" w:rsidR="002C088B" w:rsidRPr="002D1AE8" w:rsidRDefault="002C088B" w:rsidP="006F2300">
            <w:r w:rsidRPr="002D1AE8">
              <w:t xml:space="preserve">5% </w:t>
            </w:r>
          </w:p>
        </w:tc>
      </w:tr>
      <w:tr w:rsidR="002C088B" w:rsidRPr="00EF2473" w14:paraId="5F5350B7" w14:textId="77777777" w:rsidTr="006F2300">
        <w:trPr>
          <w:trHeight w:val="252"/>
          <w:tblCellSpacing w:w="20" w:type="dxa"/>
        </w:trPr>
        <w:tc>
          <w:tcPr>
            <w:tcW w:w="2446" w:type="dxa"/>
            <w:shd w:val="clear" w:color="auto" w:fill="D9D9D9"/>
          </w:tcPr>
          <w:p w14:paraId="7CAD5390" w14:textId="77777777" w:rsidR="002C088B" w:rsidRPr="002D1AE8" w:rsidRDefault="002C088B" w:rsidP="006F2300">
            <w:r w:rsidRPr="002D1AE8">
              <w:t>&lt;99.5%-99.0%</w:t>
            </w:r>
          </w:p>
        </w:tc>
        <w:tc>
          <w:tcPr>
            <w:tcW w:w="2447" w:type="dxa"/>
            <w:shd w:val="clear" w:color="auto" w:fill="D9D9D9"/>
          </w:tcPr>
          <w:p w14:paraId="206BB6DF" w14:textId="77777777" w:rsidR="002C088B" w:rsidRPr="002D1AE8" w:rsidRDefault="002C088B" w:rsidP="006F2300">
            <w:pPr>
              <w:rPr>
                <w:rFonts w:cs="Verdana"/>
              </w:rPr>
            </w:pPr>
            <w:r w:rsidRPr="002D1AE8">
              <w:t>10%</w:t>
            </w:r>
          </w:p>
        </w:tc>
      </w:tr>
      <w:tr w:rsidR="002C088B" w:rsidRPr="00EF2473" w14:paraId="6B92A8C9" w14:textId="77777777" w:rsidTr="006F2300">
        <w:trPr>
          <w:trHeight w:val="252"/>
          <w:tblCellSpacing w:w="20" w:type="dxa"/>
        </w:trPr>
        <w:tc>
          <w:tcPr>
            <w:tcW w:w="2446" w:type="dxa"/>
            <w:shd w:val="clear" w:color="auto" w:fill="auto"/>
          </w:tcPr>
          <w:p w14:paraId="1A4C762B" w14:textId="77777777" w:rsidR="002C088B" w:rsidRPr="002D1AE8" w:rsidRDefault="002C088B" w:rsidP="006F2300">
            <w:pPr>
              <w:rPr>
                <w:rFonts w:cs="Verdana"/>
              </w:rPr>
            </w:pPr>
            <w:r w:rsidRPr="002D1AE8">
              <w:t>&lt;99.0%-98.0%</w:t>
            </w:r>
          </w:p>
        </w:tc>
        <w:tc>
          <w:tcPr>
            <w:tcW w:w="2447" w:type="dxa"/>
            <w:shd w:val="clear" w:color="auto" w:fill="auto"/>
          </w:tcPr>
          <w:p w14:paraId="025E0280" w14:textId="77777777" w:rsidR="002C088B" w:rsidRPr="002D1AE8" w:rsidRDefault="002C088B" w:rsidP="006F2300">
            <w:r w:rsidRPr="002D1AE8">
              <w:t>15%</w:t>
            </w:r>
          </w:p>
        </w:tc>
      </w:tr>
      <w:tr w:rsidR="002C088B" w:rsidRPr="00EF2473" w14:paraId="785FA286" w14:textId="77777777" w:rsidTr="006F2300">
        <w:trPr>
          <w:trHeight w:val="334"/>
          <w:tblCellSpacing w:w="20" w:type="dxa"/>
        </w:trPr>
        <w:tc>
          <w:tcPr>
            <w:tcW w:w="2446" w:type="dxa"/>
            <w:shd w:val="clear" w:color="auto" w:fill="D9D9D9" w:themeFill="background1" w:themeFillShade="D9"/>
          </w:tcPr>
          <w:p w14:paraId="74622160" w14:textId="77777777" w:rsidR="002C088B" w:rsidRPr="002D1AE8" w:rsidRDefault="002C088B" w:rsidP="006F2300">
            <w:r w:rsidRPr="002D1AE8">
              <w:t>&lt;98%</w:t>
            </w:r>
          </w:p>
        </w:tc>
        <w:tc>
          <w:tcPr>
            <w:tcW w:w="2447" w:type="dxa"/>
            <w:shd w:val="clear" w:color="auto" w:fill="D9D9D9" w:themeFill="background1" w:themeFillShade="D9"/>
          </w:tcPr>
          <w:p w14:paraId="73A76877" w14:textId="77777777" w:rsidR="002C088B" w:rsidRPr="002D1AE8" w:rsidRDefault="002C088B" w:rsidP="006F2300">
            <w:r w:rsidRPr="002D1AE8">
              <w:t>20%</w:t>
            </w:r>
          </w:p>
        </w:tc>
      </w:tr>
    </w:tbl>
    <w:p w14:paraId="07EAF448" w14:textId="3A1D7988" w:rsidR="002C088B" w:rsidRPr="00180DAC" w:rsidRDefault="00BA014F" w:rsidP="00BA014F">
      <w:pPr>
        <w:pStyle w:val="Heading3"/>
        <w:rPr>
          <w:bCs/>
        </w:rPr>
      </w:pPr>
      <w:r>
        <w:t>Calculation of service c</w:t>
      </w:r>
      <w:bookmarkStart w:id="0" w:name="_GoBack"/>
      <w:bookmarkEnd w:id="0"/>
      <w:r w:rsidR="002C088B" w:rsidRPr="00180DAC">
        <w:t>redits</w:t>
      </w:r>
    </w:p>
    <w:p w14:paraId="5BAA1C89" w14:textId="77777777" w:rsidR="002C088B" w:rsidRPr="00B3450F" w:rsidRDefault="002C088B" w:rsidP="002C088B">
      <w:pPr>
        <w:ind w:left="66"/>
      </w:pPr>
      <w:r w:rsidRPr="00B3450F">
        <w:t>Where a Monthly Review Period incorporates part of a month, any Service credit will apply to a pro-rated Monthly Charge.</w:t>
      </w:r>
    </w:p>
    <w:p w14:paraId="28159E52" w14:textId="77777777" w:rsidR="002C088B" w:rsidRPr="00B3450F" w:rsidRDefault="002C088B" w:rsidP="002C088B">
      <w:pPr>
        <w:ind w:left="66"/>
      </w:pPr>
      <w:r w:rsidRPr="00B3450F">
        <w:t>Service credits will be calculated monthly, aggregated and credited to the Customer on a quarterly basis.</w:t>
      </w:r>
    </w:p>
    <w:p w14:paraId="60676E81" w14:textId="77777777" w:rsidR="002C088B" w:rsidRPr="00B3450F" w:rsidRDefault="002C088B" w:rsidP="002C088B">
      <w:pPr>
        <w:ind w:left="66"/>
      </w:pPr>
      <w:r w:rsidRPr="00B3450F">
        <w:t>If a Service is cancelled during a Monthly Review Period, no Service credit will be payable in respect of that Circuit for that Monthly Review Period.</w:t>
      </w:r>
    </w:p>
    <w:p w14:paraId="7B0725F9" w14:textId="77777777" w:rsidR="002C088B" w:rsidRPr="00B3450F" w:rsidRDefault="002C088B" w:rsidP="002C088B">
      <w:pPr>
        <w:ind w:left="66"/>
      </w:pPr>
      <w:r w:rsidRPr="00B3450F">
        <w:t>The Customer must claim any Service credit due to a failure to meet the Service levels, in writing, within twenty one (21) business days of the date at which the Customer could reasonably be expected to become aware of such failure.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w:t>
      </w:r>
    </w:p>
    <w:p w14:paraId="5C48BCDD" w14:textId="04344B90" w:rsidR="002C088B" w:rsidRPr="00180DAC" w:rsidRDefault="00BA014F" w:rsidP="00BA014F">
      <w:pPr>
        <w:pStyle w:val="Heading3"/>
        <w:rPr>
          <w:bCs/>
        </w:rPr>
      </w:pPr>
      <w:r>
        <w:t>Exclusions to p</w:t>
      </w:r>
      <w:r w:rsidR="002C088B" w:rsidRPr="00180DAC">
        <w:t xml:space="preserve">ayment of </w:t>
      </w:r>
      <w:r>
        <w:t>service c</w:t>
      </w:r>
      <w:r w:rsidR="002C088B" w:rsidRPr="00180DAC">
        <w:t>redits</w:t>
      </w:r>
    </w:p>
    <w:p w14:paraId="6D824A6A" w14:textId="77777777" w:rsidR="002C088B" w:rsidRPr="00EF2473" w:rsidRDefault="002C088B" w:rsidP="002C088B">
      <w:r w:rsidRPr="00EF2473">
        <w:t>Service credits will not be payable by Node4 to the Customer in relation to the Service Availability for faults or disruptions to the Service caused by any of the following:</w:t>
      </w:r>
    </w:p>
    <w:p w14:paraId="3A6DC66F" w14:textId="77777777" w:rsidR="002C088B" w:rsidRPr="00B3450F" w:rsidRDefault="002C088B" w:rsidP="002C088B">
      <w:pPr>
        <w:pStyle w:val="ListParagraph"/>
        <w:numPr>
          <w:ilvl w:val="0"/>
          <w:numId w:val="36"/>
        </w:numPr>
        <w:ind w:left="426"/>
      </w:pPr>
      <w:r w:rsidRPr="00B3450F">
        <w:t>The fault, action or negligence of the Customer, its employees, agents or contractors;</w:t>
      </w:r>
    </w:p>
    <w:p w14:paraId="206268F7" w14:textId="77777777" w:rsidR="002C088B" w:rsidRPr="00B3450F" w:rsidRDefault="002C088B" w:rsidP="002C088B">
      <w:pPr>
        <w:pStyle w:val="ListParagraph"/>
        <w:numPr>
          <w:ilvl w:val="0"/>
          <w:numId w:val="36"/>
        </w:numPr>
        <w:ind w:left="426"/>
      </w:pPr>
      <w:r w:rsidRPr="00B3450F">
        <w:t>The Customer failing to comply with Node4’s Standard Terms and Conditions;</w:t>
      </w:r>
    </w:p>
    <w:p w14:paraId="7A61A0FF" w14:textId="77777777" w:rsidR="002C088B" w:rsidRPr="00B3450F" w:rsidRDefault="002C088B" w:rsidP="002C088B">
      <w:pPr>
        <w:pStyle w:val="ListParagraph"/>
        <w:numPr>
          <w:ilvl w:val="0"/>
          <w:numId w:val="36"/>
        </w:numPr>
        <w:ind w:left="426"/>
      </w:pPr>
      <w:r w:rsidRPr="00B3450F">
        <w:t>A fault in, or any other problem associated with, equipment connected on the Customer’s side of the Node4 Network Termination Point, except where such fault or problem is directly caused by the fault action or negligence of Node4, its employees, agents or contractors;</w:t>
      </w:r>
    </w:p>
    <w:p w14:paraId="0E6A4B9A" w14:textId="77777777" w:rsidR="002C088B" w:rsidRPr="00B3450F" w:rsidRDefault="002C088B" w:rsidP="002C088B">
      <w:pPr>
        <w:pStyle w:val="ListParagraph"/>
        <w:numPr>
          <w:ilvl w:val="0"/>
          <w:numId w:val="36"/>
        </w:numPr>
        <w:ind w:left="426"/>
      </w:pPr>
      <w:r w:rsidRPr="00B3450F">
        <w:t xml:space="preserve">Any event described in Clause </w:t>
      </w:r>
      <w:r>
        <w:t>10</w:t>
      </w:r>
      <w:r w:rsidRPr="00B3450F">
        <w:t xml:space="preserve"> (Force Majeure) of Node4’s</w:t>
      </w:r>
      <w:r>
        <w:t xml:space="preserve"> Standard Terms and Conditions</w:t>
      </w:r>
      <w:r w:rsidRPr="00B3450F">
        <w:t>;</w:t>
      </w:r>
    </w:p>
    <w:p w14:paraId="1EE31B41" w14:textId="77777777" w:rsidR="002C088B" w:rsidRPr="00B3450F" w:rsidRDefault="002C088B" w:rsidP="002C088B">
      <w:pPr>
        <w:pStyle w:val="ListParagraph"/>
        <w:numPr>
          <w:ilvl w:val="0"/>
          <w:numId w:val="36"/>
        </w:numPr>
        <w:ind w:left="426"/>
      </w:pPr>
      <w:r w:rsidRPr="00B3450F">
        <w:t>A failure by the Customer to give Node4 access to any equipment after being requested to do so by Node4; or</w:t>
      </w:r>
    </w:p>
    <w:p w14:paraId="09994AF5" w14:textId="77777777" w:rsidR="002C088B" w:rsidRPr="00B3450F" w:rsidRDefault="002C088B" w:rsidP="002C088B">
      <w:pPr>
        <w:pStyle w:val="ListParagraph"/>
        <w:numPr>
          <w:ilvl w:val="0"/>
          <w:numId w:val="36"/>
        </w:numPr>
        <w:ind w:left="426"/>
      </w:pPr>
      <w:r w:rsidRPr="00B3450F">
        <w:t>Maintenance during any Planned Outage</w:t>
      </w:r>
    </w:p>
    <w:p w14:paraId="58DD5146" w14:textId="77777777" w:rsidR="002C088B" w:rsidRPr="00B3450F" w:rsidRDefault="002C088B" w:rsidP="002C088B">
      <w:pPr>
        <w:pStyle w:val="ListParagraph"/>
        <w:numPr>
          <w:ilvl w:val="0"/>
          <w:numId w:val="36"/>
        </w:numPr>
        <w:ind w:left="426"/>
      </w:pPr>
      <w:r w:rsidRPr="00B3450F">
        <w:t>Connectivity (covered by the</w:t>
      </w:r>
      <w:r>
        <w:t xml:space="preserve"> relevant </w:t>
      </w:r>
      <w:r w:rsidRPr="00B3450F">
        <w:t>Connectivity schedule)</w:t>
      </w:r>
    </w:p>
    <w:p w14:paraId="3D83D414" w14:textId="77777777" w:rsidR="002C088B" w:rsidRPr="00B3450F" w:rsidRDefault="002C088B" w:rsidP="002C088B">
      <w:pPr>
        <w:pStyle w:val="ListParagraph"/>
        <w:numPr>
          <w:ilvl w:val="0"/>
          <w:numId w:val="36"/>
        </w:numPr>
        <w:ind w:left="426"/>
      </w:pPr>
      <w:r w:rsidRPr="00B3450F">
        <w:t>Hardware on the customer site</w:t>
      </w:r>
    </w:p>
    <w:p w14:paraId="056BE174" w14:textId="77777777" w:rsidR="002C088B" w:rsidRPr="00EF2473" w:rsidRDefault="002C088B" w:rsidP="002C088B">
      <w:r w:rsidRPr="00EF2473">
        <w:t>Service credits are not applicable for more than one breach of any targets outlined in this document arising from the same occurrence.</w:t>
      </w:r>
    </w:p>
    <w:p w14:paraId="16B4DEFB" w14:textId="77777777" w:rsidR="002C088B" w:rsidRPr="00EF2473" w:rsidRDefault="002C088B" w:rsidP="002C088B">
      <w:r w:rsidRPr="00EF2473">
        <w:t xml:space="preserve">In respect of any Monthly Review Period, the total amount of any service credit payable in relation to </w:t>
      </w:r>
      <w:r w:rsidRPr="00EF2473">
        <w:lastRenderedPageBreak/>
        <w:t>any service level breach shall not exceed 50% of the Monthly Charge for the affected Service.</w:t>
      </w:r>
    </w:p>
    <w:p w14:paraId="33DB13BC" w14:textId="77777777" w:rsidR="002C088B" w:rsidRPr="00EF2473" w:rsidRDefault="002C088B" w:rsidP="002C088B">
      <w:r w:rsidRPr="00EF2473">
        <w:t xml:space="preserve">The provision of Service credits shall be the sole and exclusive remedy for the failure to meet targets for </w:t>
      </w:r>
      <w:r>
        <w:t>the Collaboration service</w:t>
      </w:r>
      <w:r w:rsidRPr="00EF2473">
        <w:t>. Node4 shall have no additional liability to the Customer.</w:t>
      </w:r>
    </w:p>
    <w:p w14:paraId="7690D0E3" w14:textId="77777777" w:rsidR="002C088B" w:rsidRPr="00094126" w:rsidRDefault="002C088B" w:rsidP="002C088B"/>
    <w:p w14:paraId="2878B7A7" w14:textId="7946A372" w:rsidR="70CA1BE2" w:rsidRDefault="70CA1BE2" w:rsidP="002C088B"/>
    <w:p w14:paraId="28D8A15E" w14:textId="0DD23317" w:rsidR="70CA1BE2" w:rsidRDefault="70CA1BE2" w:rsidP="70CA1BE2"/>
    <w:p w14:paraId="5E65A846" w14:textId="15404A3D" w:rsidR="70CA1BE2" w:rsidRDefault="70CA1BE2" w:rsidP="70CA1BE2"/>
    <w:p w14:paraId="052A7FAC" w14:textId="77777777" w:rsidR="00F4051C" w:rsidRDefault="00F4051C" w:rsidP="00E26340">
      <w:pPr>
        <w:rPr>
          <w:rFonts w:cs="Helvetica-Narrow"/>
        </w:rPr>
      </w:pPr>
    </w:p>
    <w:sectPr w:rsidR="00F4051C"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FC31" w14:textId="77777777" w:rsidR="00775F65" w:rsidRDefault="00775F65" w:rsidP="00763FA4">
      <w:pPr>
        <w:spacing w:after="0" w:line="240" w:lineRule="auto"/>
      </w:pPr>
      <w:r>
        <w:separator/>
      </w:r>
    </w:p>
  </w:endnote>
  <w:endnote w:type="continuationSeparator" w:id="0">
    <w:p w14:paraId="070C3795" w14:textId="77777777" w:rsidR="00775F65" w:rsidRDefault="00775F65"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8240"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188BE6"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3B70F578"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F8436C">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D2410D">
          <w:rPr>
            <w:color w:val="8E908F"/>
            <w:sz w:val="18"/>
            <w:szCs w:val="18"/>
          </w:rPr>
          <w:t>Collaboration</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sdtContent>
        <w:r w:rsidR="002C088B">
          <w:rPr>
            <w:color w:val="8E908F"/>
            <w:sz w:val="18"/>
            <w:szCs w:val="18"/>
          </w:rPr>
          <w:t>28/07/2017</w:t>
        </w:r>
      </w:sdtContent>
    </w:sdt>
    <w:r>
      <w:tab/>
    </w:r>
    <w:r>
      <w:fldChar w:fldCharType="begin"/>
    </w:r>
    <w:r>
      <w:instrText xml:space="preserve"> PAGE  \* Arabic  \* MERGEFORMAT </w:instrText>
    </w:r>
    <w:r>
      <w:fldChar w:fldCharType="separate"/>
    </w:r>
    <w:r w:rsidR="00BA014F">
      <w:rPr>
        <w:noProof/>
      </w:rPr>
      <w:t>7</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A54713F"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91E2" w14:textId="77777777" w:rsidR="00775F65" w:rsidRDefault="00775F65" w:rsidP="00763FA4">
      <w:pPr>
        <w:spacing w:after="0" w:line="240" w:lineRule="auto"/>
      </w:pPr>
      <w:r>
        <w:separator/>
      </w:r>
    </w:p>
  </w:footnote>
  <w:footnote w:type="continuationSeparator" w:id="0">
    <w:p w14:paraId="71CE6869" w14:textId="77777777" w:rsidR="00775F65" w:rsidRDefault="00775F65"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A322CC0E"/>
    <w:lvl w:ilvl="0">
      <w:start w:val="1"/>
      <w:numFmt w:val="decimal"/>
      <w:pStyle w:val="Heading2"/>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48B5"/>
    <w:multiLevelType w:val="hybridMultilevel"/>
    <w:tmpl w:val="2A9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355B"/>
    <w:multiLevelType w:val="hybridMultilevel"/>
    <w:tmpl w:val="2B08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C283D"/>
    <w:multiLevelType w:val="hybridMultilevel"/>
    <w:tmpl w:val="ACF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3A1F96"/>
    <w:multiLevelType w:val="hybridMultilevel"/>
    <w:tmpl w:val="F38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A4703"/>
    <w:multiLevelType w:val="multilevel"/>
    <w:tmpl w:val="53B8093E"/>
    <w:lvl w:ilvl="0">
      <w:start w:val="1"/>
      <w:numFmt w:val="decimal"/>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8"/>
  </w:num>
  <w:num w:numId="3">
    <w:abstractNumId w:val="28"/>
  </w:num>
  <w:num w:numId="4">
    <w:abstractNumId w:val="19"/>
  </w:num>
  <w:num w:numId="5">
    <w:abstractNumId w:val="30"/>
  </w:num>
  <w:num w:numId="6">
    <w:abstractNumId w:val="14"/>
  </w:num>
  <w:num w:numId="7">
    <w:abstractNumId w:val="25"/>
  </w:num>
  <w:num w:numId="8">
    <w:abstractNumId w:val="2"/>
  </w:num>
  <w:num w:numId="9">
    <w:abstractNumId w:val="33"/>
  </w:num>
  <w:num w:numId="10">
    <w:abstractNumId w:val="23"/>
  </w:num>
  <w:num w:numId="11">
    <w:abstractNumId w:val="10"/>
  </w:num>
  <w:num w:numId="12">
    <w:abstractNumId w:val="17"/>
  </w:num>
  <w:num w:numId="13">
    <w:abstractNumId w:val="26"/>
  </w:num>
  <w:num w:numId="14">
    <w:abstractNumId w:val="9"/>
  </w:num>
  <w:num w:numId="15">
    <w:abstractNumId w:val="11"/>
  </w:num>
  <w:num w:numId="16">
    <w:abstractNumId w:val="3"/>
  </w:num>
  <w:num w:numId="17">
    <w:abstractNumId w:val="6"/>
  </w:num>
  <w:num w:numId="18">
    <w:abstractNumId w:val="32"/>
  </w:num>
  <w:num w:numId="19">
    <w:abstractNumId w:val="4"/>
  </w:num>
  <w:num w:numId="20">
    <w:abstractNumId w:val="12"/>
  </w:num>
  <w:num w:numId="21">
    <w:abstractNumId w:val="7"/>
  </w:num>
  <w:num w:numId="22">
    <w:abstractNumId w:val="18"/>
  </w:num>
  <w:num w:numId="23">
    <w:abstractNumId w:val="16"/>
  </w:num>
  <w:num w:numId="24">
    <w:abstractNumId w:val="31"/>
  </w:num>
  <w:num w:numId="25">
    <w:abstractNumId w:val="29"/>
  </w:num>
  <w:num w:numId="26">
    <w:abstractNumId w:val="8"/>
  </w:num>
  <w:num w:numId="27">
    <w:abstractNumId w:val="0"/>
  </w:num>
  <w:num w:numId="28">
    <w:abstractNumId w:val="24"/>
  </w:num>
  <w:num w:numId="29">
    <w:abstractNumId w:val="1"/>
  </w:num>
  <w:num w:numId="30">
    <w:abstractNumId w:val="21"/>
  </w:num>
  <w:num w:numId="31">
    <w:abstractNumId w:val="15"/>
  </w:num>
  <w:num w:numId="32">
    <w:abstractNumId w:val="34"/>
  </w:num>
  <w:num w:numId="33">
    <w:abstractNumId w:val="13"/>
  </w:num>
  <w:num w:numId="34">
    <w:abstractNumId w:val="20"/>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C088B"/>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B21D5"/>
    <w:rsid w:val="003B3E43"/>
    <w:rsid w:val="003B77B0"/>
    <w:rsid w:val="003C6392"/>
    <w:rsid w:val="003D0307"/>
    <w:rsid w:val="003D47D2"/>
    <w:rsid w:val="003E5E71"/>
    <w:rsid w:val="00403516"/>
    <w:rsid w:val="00422732"/>
    <w:rsid w:val="00425C9B"/>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18E1"/>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1C7B"/>
    <w:rsid w:val="00AD3EAD"/>
    <w:rsid w:val="00AF7FCB"/>
    <w:rsid w:val="00B0371D"/>
    <w:rsid w:val="00B314EF"/>
    <w:rsid w:val="00B36391"/>
    <w:rsid w:val="00B42790"/>
    <w:rsid w:val="00B71EBF"/>
    <w:rsid w:val="00B740D1"/>
    <w:rsid w:val="00B7653F"/>
    <w:rsid w:val="00B81D63"/>
    <w:rsid w:val="00B91F25"/>
    <w:rsid w:val="00BA014F"/>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410D"/>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A194C"/>
    <w:rsid w:val="00EA2115"/>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uiPriority w:val="9"/>
    <w:unhideWhenUsed/>
    <w:qFormat/>
    <w:rsid w:val="00BA014F"/>
    <w:pPr>
      <w:keepNext/>
      <w:keepLines/>
      <w:numPr>
        <w:numId w:val="29"/>
      </w:numPr>
      <w:ind w:left="357" w:hanging="357"/>
      <w:outlineLvl w:val="1"/>
    </w:pPr>
    <w:rPr>
      <w:rFonts w:eastAsia="MS Mincho"/>
      <w:b/>
      <w:color w:val="F79220"/>
      <w:sz w:val="28"/>
      <w:szCs w:val="32"/>
    </w:rPr>
  </w:style>
  <w:style w:type="paragraph" w:styleId="Heading3">
    <w:name w:val="heading 3"/>
    <w:basedOn w:val="Normal"/>
    <w:next w:val="Normal"/>
    <w:link w:val="Heading3Char"/>
    <w:autoRedefine/>
    <w:uiPriority w:val="9"/>
    <w:unhideWhenUsed/>
    <w:qFormat/>
    <w:rsid w:val="00BA014F"/>
    <w:pPr>
      <w:keepNext/>
      <w:keepLines/>
      <w:numPr>
        <w:ilvl w:val="1"/>
        <w:numId w:val="32"/>
      </w:numPr>
      <w:spacing w:before="200" w:after="0"/>
      <w:ind w:left="0" w:firstLine="0"/>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BA014F"/>
    <w:rPr>
      <w:rFonts w:ascii="Arial" w:eastAsia="MS Mincho" w:hAnsi="Arial"/>
      <w:b/>
      <w:color w:val="F79220"/>
      <w:sz w:val="28"/>
      <w:szCs w:val="32"/>
    </w:rPr>
  </w:style>
  <w:style w:type="character" w:customStyle="1" w:styleId="Heading3Char">
    <w:name w:val="Heading 3 Char"/>
    <w:link w:val="Heading3"/>
    <w:uiPriority w:val="9"/>
    <w:rsid w:val="00BA014F"/>
    <w:rPr>
      <w:rFonts w:ascii="Arial" w:eastAsia="MS Mincho" w:hAnsi="Arial" w:cs="Arial"/>
      <w:b/>
      <w:color w:val="F79220"/>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982CDC"/>
    <w:pPr>
      <w:numPr>
        <w:numId w:val="4"/>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table" w:customStyle="1" w:styleId="N4Table">
    <w:name w:val="N4 Table"/>
    <w:basedOn w:val="TableNormal"/>
    <w:uiPriority w:val="99"/>
    <w:rsid w:val="002C088B"/>
    <w:pPr>
      <w:ind w:left="113" w:right="113"/>
    </w:pPr>
    <w:rPr>
      <w:rFonts w:ascii="Arial" w:hAnsi="Arial"/>
      <w:color w:val="585858"/>
      <w:sz w:val="16"/>
    </w:rPr>
    <w:tblPr>
      <w:tblStyleRowBandSize w:val="1"/>
      <w:tblCellSpacing w:w="11" w:type="dxa"/>
      <w:tblBorders>
        <w:top w:val="single" w:sz="4" w:space="0" w:color="8E908F"/>
        <w:left w:val="single" w:sz="4" w:space="0" w:color="8E908F"/>
        <w:bottom w:val="single" w:sz="4" w:space="0" w:color="8E908F"/>
        <w:right w:val="single" w:sz="4" w:space="0" w:color="8E908F"/>
      </w:tblBorders>
      <w:tblCellMar>
        <w:top w:w="108" w:type="dxa"/>
        <w:bottom w:w="108" w:type="dxa"/>
      </w:tblCellMar>
    </w:tblPr>
    <w:trPr>
      <w:tblCellSpacing w:w="11" w:type="dxa"/>
    </w:trPr>
    <w:tcPr>
      <w:vAlign w:val="center"/>
    </w:tcPr>
    <w:tblStylePr w:type="firstRow">
      <w:pPr>
        <w:wordWrap/>
        <w:ind w:leftChars="0" w:left="113" w:rightChars="0" w:right="113"/>
        <w:jc w:val="left"/>
      </w:pPr>
      <w:rPr>
        <w:rFonts w:ascii="Arial" w:hAnsi="Arial"/>
        <w:b/>
        <w:bCs/>
        <w:i w:val="0"/>
        <w:color w:val="FFFFFF" w:themeColor="background1"/>
        <w:sz w:val="20"/>
        <w:u w:val="none" w:color="FFFFFF" w:themeColor="background1"/>
      </w:rPr>
      <w:tblPr/>
      <w:tcPr>
        <w:tcBorders>
          <w:top w:val="nil"/>
          <w:left w:val="nil"/>
          <w:bottom w:val="nil"/>
          <w:right w:val="nil"/>
          <w:insideH w:val="nil"/>
          <w:insideV w:val="nil"/>
          <w:tl2br w:val="nil"/>
          <w:tr2bl w:val="nil"/>
        </w:tcBorders>
        <w:shd w:val="clear" w:color="auto" w:fill="565A5C"/>
      </w:tcPr>
    </w:tblStylePr>
    <w:tblStylePr w:type="lastRow">
      <w:rPr>
        <w:b/>
        <w:bCs/>
        <w:color w:val="FFFFFF" w:themeColor="background1"/>
      </w:rPr>
    </w:tblStylePr>
    <w:tblStylePr w:type="firstCol">
      <w:rPr>
        <w:b/>
        <w:bCs/>
        <w:color w:val="FFFFFF" w:themeColor="background1"/>
      </w:rPr>
    </w:tblStylePr>
    <w:tblStylePr w:type="lastCol">
      <w:rPr>
        <w:b/>
        <w:bCs/>
        <w:color w:val="FFFFFF" w:themeColor="background1"/>
      </w:rPr>
    </w:tblStylePr>
    <w:tblStylePr w:type="band2Horz">
      <w:tblPr/>
      <w:tcPr>
        <w:shd w:val="clear" w:color="auto" w:fill="D1D4D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B2B97"/>
    <w:rsid w:val="005F0431"/>
    <w:rsid w:val="00696A96"/>
    <w:rsid w:val="006F10E0"/>
    <w:rsid w:val="00722F26"/>
    <w:rsid w:val="0078585B"/>
    <w:rsid w:val="007B54ED"/>
    <w:rsid w:val="00806338"/>
    <w:rsid w:val="00813036"/>
    <w:rsid w:val="00841D3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3.xml><?xml version="1.0" encoding="utf-8"?>
<root>
</root>
</file>

<file path=customXml/item4.xml><root xmlns="Security Type">
  <Security name="Highly Confidential">Public</Security>
  <Security name="Confidential"/>
  <Security name="Internal Use only"/>
  <Security name="Confidential"/>
</root>
</file>

<file path=customXml/item5.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root xmlns="Document Category">
  <Type name="Technical">Report</Type>
  <Type name="White"/>
  <Type name="Manual"/>
  <Type name="Report"/>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28B12-6E65-44C9-B47B-305618ED430F}">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7fe8fd24-7d93-4bcd-b7ce-a7318fdba42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6B576B-DEB9-4B76-979D-257E86ABCAAB}">
  <ds:schemaRefs/>
</ds:datastoreItem>
</file>

<file path=customXml/itemProps4.xml><?xml version="1.0" encoding="utf-8"?>
<ds:datastoreItem xmlns:ds="http://schemas.openxmlformats.org/officeDocument/2006/customXml" ds:itemID="{3B0260BB-1140-42BD-B14A-DF7052E49D72}">
  <ds:schemaRefs>
    <ds:schemaRef ds:uri="Security Type"/>
  </ds:schemaRefs>
</ds:datastoreItem>
</file>

<file path=customXml/itemProps5.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7.xml><?xml version="1.0" encoding="utf-8"?>
<ds:datastoreItem xmlns:ds="http://schemas.openxmlformats.org/officeDocument/2006/customXml" ds:itemID="{A87D58F3-D782-4C0F-A953-9EC005021CBF}">
  <ds:schemaRefs>
    <ds:schemaRef ds:uri="Document Category"/>
  </ds:schemaRefs>
</ds:datastoreItem>
</file>

<file path=customXml/itemProps8.xml><?xml version="1.0" encoding="utf-8"?>
<ds:datastoreItem xmlns:ds="http://schemas.openxmlformats.org/officeDocument/2006/customXml" ds:itemID="{698BF241-B53E-4BB9-9A97-EF5A3DFF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Collaboration</dc:subject>
  <dc:creator>Dominic Kerr-Delworth</dc:creator>
  <cp:keywords/>
  <dc:description/>
  <cp:lastModifiedBy>Andy Cresswell</cp:lastModifiedBy>
  <cp:revision>4</cp:revision>
  <cp:lastPrinted>2016-04-22T07:49:00Z</cp:lastPrinted>
  <dcterms:created xsi:type="dcterms:W3CDTF">2018-11-08T12:07:00Z</dcterms:created>
  <dcterms:modified xsi:type="dcterms:W3CDTF">2018-11-08T12:20:00Z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