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42B64272" w14:textId="6FFCF101" w:rsidR="00A04071" w:rsidRDefault="00A04071" w:rsidP="00600920">
      <w:pPr>
        <w:pStyle w:val="Heading1"/>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5680"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62848"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F0164E" w14:textId="62D39DF4" w:rsidR="00462B63" w:rsidRDefault="000A3E04"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F8436C" w:rsidRPr="00F00C3F">
                                  <w:rPr>
                                    <w:caps w:val="0"/>
                                    <w:color w:val="323232" w:themeColor="text1"/>
                                  </w:rPr>
                                  <w:t>Schedule document</w:t>
                                </w:r>
                              </w:sdtContent>
                            </w:sdt>
                          </w:p>
                          <w:sdt>
                            <w:sdt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4D7F140F" w:rsidR="00462B63" w:rsidRPr="008622B5" w:rsidRDefault="00917636" w:rsidP="00D15A65">
                                <w:pPr>
                                  <w:pStyle w:val="Heading2"/>
                                  <w:numPr>
                                    <w:ilvl w:val="0"/>
                                    <w:numId w:val="0"/>
                                  </w:numPr>
                                  <w:ind w:left="357" w:right="496"/>
                                  <w:jc w:val="right"/>
                                </w:pPr>
                                <w:r w:rsidRPr="008622B5">
                                  <w:t>Disaster Recovery as a Service (DRAAS)</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65B9B777" w:rsidR="00462B63" w:rsidRPr="00F00C3F" w:rsidRDefault="00F8436C" w:rsidP="00896AEC">
                                <w:pPr>
                                  <w:pStyle w:val="MainTitle"/>
                                  <w:ind w:right="496"/>
                                  <w:jc w:val="right"/>
                                  <w:rPr>
                                    <w:rStyle w:val="N4TitleChar"/>
                                    <w:rFonts w:cs="Arial"/>
                                    <w:caps/>
                                    <w:color w:val="323232" w:themeColor="text1"/>
                                    <w:sz w:val="20"/>
                                    <w:szCs w:val="20"/>
                                  </w:rPr>
                                </w:pPr>
                                <w:r w:rsidRPr="00F00C3F">
                                  <w:rPr>
                                    <w:rStyle w:val="SubtleEmphasis"/>
                                    <w:rFonts w:cs="Arial"/>
                                    <w:caps w:val="0"/>
                                    <w:color w:val="323232" w:themeColor="text1"/>
                                  </w:rPr>
                                  <w:t>Node4 limited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rPr>
                                <w:rStyle w:val="Emphasis"/>
                              </w:rPr>
                            </w:sdtEndPr>
                            <w:sdtContent>
                              <w:p w14:paraId="6F70918E" w14:textId="530DF992" w:rsidR="00462B63" w:rsidRPr="00F00C3F" w:rsidRDefault="00462B63" w:rsidP="00A04071">
                                <w:pPr>
                                  <w:ind w:right="496"/>
                                  <w:jc w:val="right"/>
                                  <w:rPr>
                                    <w:rStyle w:val="Emphasis"/>
                                    <w:rFonts w:cs="Arial"/>
                                    <w:b w:val="0"/>
                                    <w:color w:val="323232" w:themeColor="text1"/>
                                  </w:rPr>
                                </w:pPr>
                                <w:r w:rsidRPr="00F00C3F">
                                  <w:rPr>
                                    <w:rStyle w:val="Emphasis"/>
                                    <w:rFonts w:cs="Arial"/>
                                    <w:b w:val="0"/>
                                    <w:color w:val="323232" w:themeColor="text1"/>
                                  </w:rPr>
                                  <w:t>2</w:t>
                                </w:r>
                                <w:r w:rsidR="00917636">
                                  <w:rPr>
                                    <w:rStyle w:val="Emphasis"/>
                                    <w:rFonts w:cs="Arial"/>
                                    <w:b w:val="0"/>
                                    <w:color w:val="323232" w:themeColor="text1"/>
                                  </w:rPr>
                                  <w:t>8/</w:t>
                                </w:r>
                                <w:r w:rsidRPr="00F00C3F">
                                  <w:rPr>
                                    <w:rStyle w:val="Emphasis"/>
                                    <w:rFonts w:cs="Arial"/>
                                    <w:b w:val="0"/>
                                    <w:color w:val="323232" w:themeColor="text1"/>
                                  </w:rPr>
                                  <w:t>0</w:t>
                                </w:r>
                                <w:r w:rsidR="00917636">
                                  <w:rPr>
                                    <w:rStyle w:val="Emphasis"/>
                                    <w:rFonts w:cs="Arial"/>
                                    <w:b w:val="0"/>
                                    <w:color w:val="323232" w:themeColor="text1"/>
                                  </w:rPr>
                                  <w:t>7</w:t>
                                </w:r>
                                <w:r w:rsidRPr="00F00C3F">
                                  <w:rPr>
                                    <w:rStyle w:val="Emphasis"/>
                                    <w:rFonts w:cs="Arial"/>
                                    <w:b w:val="0"/>
                                    <w:color w:val="323232" w:themeColor="text1"/>
                                  </w:rPr>
                                  <w:t>/20</w:t>
                                </w:r>
                                <w:r w:rsidR="00917636">
                                  <w:rPr>
                                    <w:rStyle w:val="Emphasis"/>
                                    <w:rFonts w:cs="Arial"/>
                                    <w:b w:val="0"/>
                                    <w:color w:val="323232" w:themeColor="text1"/>
                                  </w:rPr>
                                  <w:t>17</w:t>
                                </w:r>
                              </w:p>
                            </w:sdtContent>
                          </w:sdt>
                          <w:p w14:paraId="5AB4E343" w14:textId="77777777" w:rsidR="00462B63" w:rsidRDefault="00462B63"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62D39DF4" w:rsidR="00462B63" w:rsidRDefault="000A3E04"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F8436C" w:rsidRPr="00F00C3F">
                            <w:rPr>
                              <w:caps w:val="0"/>
                              <w:color w:val="323232" w:themeColor="text1"/>
                            </w:rPr>
                            <w:t>Schedule document</w:t>
                          </w:r>
                        </w:sdtContent>
                      </w:sdt>
                    </w:p>
                    <w:sdt>
                      <w:sdt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4D7F140F" w:rsidR="00462B63" w:rsidRPr="008622B5" w:rsidRDefault="00917636" w:rsidP="00D15A65">
                          <w:pPr>
                            <w:pStyle w:val="Heading2"/>
                            <w:numPr>
                              <w:ilvl w:val="0"/>
                              <w:numId w:val="0"/>
                            </w:numPr>
                            <w:ind w:left="357" w:right="496"/>
                            <w:jc w:val="right"/>
                          </w:pPr>
                          <w:r w:rsidRPr="008622B5">
                            <w:t>Disaster Recovery as a Service (DRAAS)</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65B9B777" w:rsidR="00462B63" w:rsidRPr="00F00C3F" w:rsidRDefault="00F8436C" w:rsidP="00896AEC">
                          <w:pPr>
                            <w:pStyle w:val="MainTitle"/>
                            <w:ind w:right="496"/>
                            <w:jc w:val="right"/>
                            <w:rPr>
                              <w:rStyle w:val="N4TitleChar"/>
                              <w:rFonts w:cs="Arial"/>
                              <w:caps/>
                              <w:color w:val="323232" w:themeColor="text1"/>
                              <w:sz w:val="20"/>
                              <w:szCs w:val="20"/>
                            </w:rPr>
                          </w:pPr>
                          <w:r w:rsidRPr="00F00C3F">
                            <w:rPr>
                              <w:rStyle w:val="SubtleEmphasis"/>
                              <w:rFonts w:cs="Arial"/>
                              <w:caps w:val="0"/>
                              <w:color w:val="323232" w:themeColor="text1"/>
                            </w:rPr>
                            <w:t>Node4 limited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rPr>
                          <w:rStyle w:val="Emphasis"/>
                        </w:rPr>
                      </w:sdtEndPr>
                      <w:sdtContent>
                        <w:p w14:paraId="6F70918E" w14:textId="530DF992" w:rsidR="00462B63" w:rsidRPr="00F00C3F" w:rsidRDefault="00462B63" w:rsidP="00A04071">
                          <w:pPr>
                            <w:ind w:right="496"/>
                            <w:jc w:val="right"/>
                            <w:rPr>
                              <w:rStyle w:val="Emphasis"/>
                              <w:rFonts w:cs="Arial"/>
                              <w:b w:val="0"/>
                              <w:color w:val="323232" w:themeColor="text1"/>
                            </w:rPr>
                          </w:pPr>
                          <w:r w:rsidRPr="00F00C3F">
                            <w:rPr>
                              <w:rStyle w:val="Emphasis"/>
                              <w:rFonts w:cs="Arial"/>
                              <w:b w:val="0"/>
                              <w:color w:val="323232" w:themeColor="text1"/>
                            </w:rPr>
                            <w:t>2</w:t>
                          </w:r>
                          <w:r w:rsidR="00917636">
                            <w:rPr>
                              <w:rStyle w:val="Emphasis"/>
                              <w:rFonts w:cs="Arial"/>
                              <w:b w:val="0"/>
                              <w:color w:val="323232" w:themeColor="text1"/>
                            </w:rPr>
                            <w:t>8/</w:t>
                          </w:r>
                          <w:r w:rsidRPr="00F00C3F">
                            <w:rPr>
                              <w:rStyle w:val="Emphasis"/>
                              <w:rFonts w:cs="Arial"/>
                              <w:b w:val="0"/>
                              <w:color w:val="323232" w:themeColor="text1"/>
                            </w:rPr>
                            <w:t>0</w:t>
                          </w:r>
                          <w:r w:rsidR="00917636">
                            <w:rPr>
                              <w:rStyle w:val="Emphasis"/>
                              <w:rFonts w:cs="Arial"/>
                              <w:b w:val="0"/>
                              <w:color w:val="323232" w:themeColor="text1"/>
                            </w:rPr>
                            <w:t>7</w:t>
                          </w:r>
                          <w:r w:rsidRPr="00F00C3F">
                            <w:rPr>
                              <w:rStyle w:val="Emphasis"/>
                              <w:rFonts w:cs="Arial"/>
                              <w:b w:val="0"/>
                              <w:color w:val="323232" w:themeColor="text1"/>
                            </w:rPr>
                            <w:t>/20</w:t>
                          </w:r>
                          <w:r w:rsidR="00917636">
                            <w:rPr>
                              <w:rStyle w:val="Emphasis"/>
                              <w:rFonts w:cs="Arial"/>
                              <w:b w:val="0"/>
                              <w:color w:val="323232" w:themeColor="text1"/>
                            </w:rPr>
                            <w:t>17</w:t>
                          </w:r>
                        </w:p>
                      </w:sdtContent>
                    </w:sdt>
                    <w:p w14:paraId="5AB4E343" w14:textId="77777777" w:rsidR="00462B63" w:rsidRDefault="00462B63" w:rsidP="00A04071">
                      <w:pPr>
                        <w:jc w:val="right"/>
                      </w:pPr>
                    </w:p>
                  </w:txbxContent>
                </v:textbox>
                <w10:wrap type="square"/>
              </v:shape>
            </w:pict>
          </mc:Fallback>
        </mc:AlternateContent>
      </w:r>
      <w:r w:rsidR="00A04071">
        <w:br w:type="page"/>
      </w:r>
    </w:p>
    <w:p w14:paraId="13F52115" w14:textId="1A6A090E" w:rsidR="00600920" w:rsidRPr="00BC665D" w:rsidRDefault="00917636" w:rsidP="00600920">
      <w:pPr>
        <w:pStyle w:val="Heading1"/>
        <w:rPr>
          <w:rFonts w:cs="Arial"/>
        </w:rPr>
      </w:pPr>
      <w:r>
        <w:rPr>
          <w:rFonts w:cs="Arial"/>
          <w:caps w:val="0"/>
        </w:rPr>
        <w:lastRenderedPageBreak/>
        <w:t>Schedule Document</w:t>
      </w:r>
    </w:p>
    <w:p w14:paraId="30CD018C" w14:textId="35A445B3" w:rsidR="00245ED4" w:rsidRPr="000A3E04" w:rsidRDefault="00917636" w:rsidP="000A3E04">
      <w:pPr>
        <w:pStyle w:val="Heading2"/>
        <w:numPr>
          <w:ilvl w:val="0"/>
          <w:numId w:val="0"/>
        </w:numPr>
        <w:jc w:val="left"/>
        <w:rPr>
          <w:rFonts w:cs="Arial"/>
          <w:color w:val="F79220" w:themeColor="accent1"/>
        </w:rPr>
      </w:pPr>
      <w:r w:rsidRPr="000A3E04">
        <w:rPr>
          <w:rFonts w:cs="Arial"/>
          <w:color w:val="F79220" w:themeColor="accent1"/>
        </w:rPr>
        <w:t>Disaster Recovery as a Service (DRaaS</w:t>
      </w:r>
      <w:r w:rsidR="000D3424" w:rsidRPr="000A3E04">
        <w:rPr>
          <w:rFonts w:cs="Arial"/>
          <w:color w:val="F79220" w:themeColor="accent1"/>
        </w:rPr>
        <w:t>)</w:t>
      </w:r>
    </w:p>
    <w:p w14:paraId="1871B593" w14:textId="7D3A46D3" w:rsidR="00917636" w:rsidRDefault="00917636" w:rsidP="00917636">
      <w:r w:rsidRPr="00F27BA0">
        <w:t>This schedule contains additional terms and conditions, service description &amp; Serv</w:t>
      </w:r>
      <w:r>
        <w:t xml:space="preserve">ice Levels applicable to the </w:t>
      </w:r>
      <w:r w:rsidR="005C1DCE" w:rsidRPr="00BD02AF">
        <w:t>D</w:t>
      </w:r>
      <w:r w:rsidR="005C1DCE">
        <w:t>isaster</w:t>
      </w:r>
      <w:r>
        <w:t xml:space="preserve"> Recovery As A Service (DRAAS) and should be viewed with associated Order Form, Node4’s General Terms and Conditions and the Acceptable Use Policy.</w:t>
      </w:r>
    </w:p>
    <w:p w14:paraId="5D4F8804" w14:textId="22EE0BA0" w:rsidR="00917636" w:rsidRPr="00600920" w:rsidRDefault="00917636" w:rsidP="00917636">
      <w:pPr>
        <w:pStyle w:val="Heading2"/>
      </w:pPr>
      <w:r>
        <w:t>Overview</w:t>
      </w:r>
      <w:r w:rsidRPr="00600920">
        <w:t xml:space="preserve"> </w:t>
      </w:r>
    </w:p>
    <w:p w14:paraId="4F21E375" w14:textId="77777777" w:rsidR="00917636" w:rsidRDefault="00917636" w:rsidP="00917636">
      <w:r w:rsidRPr="00600920">
        <w:t xml:space="preserve">The Node4 </w:t>
      </w:r>
      <w:r>
        <w:t>DRaaS Service</w:t>
      </w:r>
      <w:r w:rsidRPr="00600920">
        <w:t xml:space="preserve"> </w:t>
      </w:r>
      <w:r>
        <w:t>enables the Customer to replicate virtual machines that are running on a VMware hypervisor (“source platform”) so that</w:t>
      </w:r>
      <w:r w:rsidRPr="00BC7029">
        <w:t xml:space="preserve"> </w:t>
      </w:r>
      <w:r>
        <w:t>they can be restarted on the Node4 n4Cloud platform in the event that the source platform becomes unusable. The source platform may be:</w:t>
      </w:r>
    </w:p>
    <w:p w14:paraId="621FEFD2" w14:textId="77777777" w:rsidR="00917636" w:rsidRDefault="00917636" w:rsidP="00917636">
      <w:pPr>
        <w:pStyle w:val="ListParagraph"/>
        <w:numPr>
          <w:ilvl w:val="0"/>
          <w:numId w:val="32"/>
        </w:numPr>
        <w:spacing w:before="120" w:after="120" w:afterAutospacing="0"/>
        <w:ind w:left="360"/>
        <w:contextualSpacing w:val="0"/>
      </w:pPr>
      <w:r>
        <w:t xml:space="preserve">a Customer VMware platform </w:t>
      </w:r>
    </w:p>
    <w:p w14:paraId="7E402FD7" w14:textId="77777777" w:rsidR="00917636" w:rsidRDefault="00917636" w:rsidP="00917636">
      <w:pPr>
        <w:pStyle w:val="ListParagraph"/>
        <w:numPr>
          <w:ilvl w:val="0"/>
          <w:numId w:val="32"/>
        </w:numPr>
        <w:spacing w:before="120" w:after="120" w:afterAutospacing="0"/>
        <w:ind w:left="360"/>
        <w:contextualSpacing w:val="0"/>
      </w:pPr>
      <w:r>
        <w:t>the N4cloud platform running at another Data Centre  (for example, virtual machines running on n4Cloud in Leeds, may restart on N4cloud in Northampton).</w:t>
      </w:r>
    </w:p>
    <w:p w14:paraId="7F78422A" w14:textId="77777777" w:rsidR="00917636" w:rsidRDefault="00917636" w:rsidP="00917636">
      <w:r>
        <w:t xml:space="preserve">The service provides </w:t>
      </w:r>
      <w:r w:rsidRPr="00600920">
        <w:t xml:space="preserve">the Customer with access to </w:t>
      </w:r>
      <w:r>
        <w:t xml:space="preserve">a hosted software package which, when configured, will replicate the disks of a virtual machine on the source platform to the Node4 n4Cloud platform in a specified site. </w:t>
      </w:r>
    </w:p>
    <w:p w14:paraId="438F3739" w14:textId="77777777" w:rsidR="00917636" w:rsidRDefault="00917636" w:rsidP="00917636">
      <w:r>
        <w:t>The n4Cloud platform is described in a separate service schedule document.</w:t>
      </w:r>
    </w:p>
    <w:p w14:paraId="68466A2F" w14:textId="77777777" w:rsidR="00917636" w:rsidRDefault="00917636" w:rsidP="00917636">
      <w:r>
        <w:t>In the event of a disaster, the Customer may invoke a “disaster recovery event”. When so invoked, Node4 will boot the replicated copy of each virtual machine (“standby VMs”) on the n4Cloud platform.</w:t>
      </w:r>
    </w:p>
    <w:p w14:paraId="70647D2A" w14:textId="77777777" w:rsidR="00917636" w:rsidRDefault="00917636" w:rsidP="00917636">
      <w:r w:rsidRPr="00600920">
        <w:t xml:space="preserve">There are various components to the </w:t>
      </w:r>
      <w:r>
        <w:t>DRaaS Service</w:t>
      </w:r>
      <w:r w:rsidRPr="00600920">
        <w:t>:</w:t>
      </w:r>
    </w:p>
    <w:p w14:paraId="5A22AA45" w14:textId="77777777" w:rsidR="00917636" w:rsidRDefault="00917636" w:rsidP="00917636">
      <w:pPr>
        <w:pStyle w:val="ListParagraph"/>
        <w:numPr>
          <w:ilvl w:val="0"/>
          <w:numId w:val="32"/>
        </w:numPr>
        <w:spacing w:before="120" w:after="120" w:afterAutospacing="0"/>
        <w:ind w:left="360"/>
        <w:contextualSpacing w:val="0"/>
      </w:pPr>
      <w:r>
        <w:t>DRaaS Portal which allows customers to enable replication for additional virtual machines and invoke a ‘disaster recovery event’;</w:t>
      </w:r>
    </w:p>
    <w:p w14:paraId="7EEAF633" w14:textId="77777777" w:rsidR="00917636" w:rsidRDefault="00917636" w:rsidP="00917636">
      <w:pPr>
        <w:pStyle w:val="ListParagraph"/>
        <w:numPr>
          <w:ilvl w:val="0"/>
          <w:numId w:val="32"/>
        </w:numPr>
        <w:spacing w:before="120" w:after="120" w:afterAutospacing="0"/>
        <w:ind w:left="360"/>
        <w:contextualSpacing w:val="0"/>
      </w:pPr>
      <w:r>
        <w:t xml:space="preserve">Replication software which replicates source virtual machines to the n4Compute platform. Node4 reserves the right to change technologies used from time to time as long as the </w:t>
      </w:r>
      <w:r>
        <w:t>functionality provided is similar or better (in the opinion of Node4).</w:t>
      </w:r>
    </w:p>
    <w:p w14:paraId="16F3FA44" w14:textId="77777777" w:rsidR="00917636" w:rsidRDefault="00917636" w:rsidP="00917636">
      <w:r>
        <w:t>Configuration of networking to redirect traffic to the standby VMs is not part of the scope of this service. It is the responsibility of the customer to ensure that they have a mechanism in place to be able to use/connect to the standby VMs in the event that a disaster recovery event is invoked.</w:t>
      </w:r>
    </w:p>
    <w:p w14:paraId="28D4C05F" w14:textId="77777777" w:rsidR="00917636" w:rsidRDefault="00917636" w:rsidP="00917636">
      <w:r>
        <w:t>This service only currently supports VMware vSphere virtual machines.</w:t>
      </w:r>
    </w:p>
    <w:p w14:paraId="04E4C2CC" w14:textId="77777777" w:rsidR="00917636" w:rsidRDefault="00917636" w:rsidP="00917636">
      <w:r>
        <w:t>Node4 shall provide:</w:t>
      </w:r>
    </w:p>
    <w:p w14:paraId="5711CE1F" w14:textId="77777777" w:rsidR="00917636" w:rsidRDefault="00917636" w:rsidP="00917636">
      <w:pPr>
        <w:pStyle w:val="ListParagraph"/>
        <w:numPr>
          <w:ilvl w:val="0"/>
          <w:numId w:val="32"/>
        </w:numPr>
        <w:spacing w:before="120" w:after="120" w:afterAutospacing="0"/>
        <w:ind w:left="360"/>
        <w:contextualSpacing w:val="0"/>
      </w:pPr>
      <w:r>
        <w:t>initial set-up of an account on the DRaaS platform for the Customer and;</w:t>
      </w:r>
    </w:p>
    <w:p w14:paraId="611D5613" w14:textId="77777777" w:rsidR="00917636" w:rsidRDefault="00917636" w:rsidP="00917636">
      <w:pPr>
        <w:pStyle w:val="ListParagraph"/>
        <w:numPr>
          <w:ilvl w:val="0"/>
          <w:numId w:val="32"/>
        </w:numPr>
        <w:spacing w:before="120" w:after="120" w:afterAutospacing="0"/>
        <w:ind w:left="360"/>
        <w:contextualSpacing w:val="0"/>
      </w:pPr>
      <w:r>
        <w:t>access to the DRaaS Portal from which customers can setup and manage the list of virtual machines to be replicated.</w:t>
      </w:r>
    </w:p>
    <w:p w14:paraId="3D7BF670" w14:textId="77777777" w:rsidR="00917636" w:rsidRDefault="00917636" w:rsidP="00917636">
      <w:r>
        <w:t xml:space="preserve">The Customer is entitled to perform two failover tests in any 12 month rolling period, starting from the Service Commencement Date. When notified to Node4 in advance, the Customer shall be entitled to boot their standby VMs in order to simulate a real disaster recovery event. </w:t>
      </w:r>
    </w:p>
    <w:p w14:paraId="57A9F0DE" w14:textId="77777777" w:rsidR="00917636" w:rsidRDefault="00917636" w:rsidP="00917636">
      <w:r>
        <w:t>The failover tests should not exceed five working days in duration. If this is the case, the Customer shall not be charged for the n4Cloud resource used during the failover test. In the event that a test does exceed five days, Node4 shall levy Fees for the resource consumed on the n4Cloud platform at standard rates, and Fee in full for each and every month the virtual machines are powered on.</w:t>
      </w:r>
    </w:p>
    <w:p w14:paraId="2D8A47BF" w14:textId="77777777" w:rsidR="00917636" w:rsidRDefault="00917636" w:rsidP="00917636">
      <w:r>
        <w:t>Node4 recommends that at least one test is carried out per annum.</w:t>
      </w:r>
    </w:p>
    <w:p w14:paraId="2CEF2EB9" w14:textId="77777777" w:rsidR="00917636" w:rsidRPr="008B4687" w:rsidRDefault="00917636" w:rsidP="00917636">
      <w:r>
        <w:t xml:space="preserve">In the event that a Disaster Recovery Event is invoked due to loss of a Node4 datacentre, Fees for usage of the standby VMs on the n4Cloud platform shall not apply. In all other circumstances, the </w:t>
      </w:r>
      <w:r w:rsidRPr="008B4687">
        <w:t>Customer</w:t>
      </w:r>
      <w:r>
        <w:t xml:space="preserve"> agrees to pay Fees for the n</w:t>
      </w:r>
      <w:r w:rsidRPr="008B4687">
        <w:t xml:space="preserve">4Cloud resource used. </w:t>
      </w:r>
    </w:p>
    <w:p w14:paraId="6EE03BDB" w14:textId="77777777" w:rsidR="00917636" w:rsidRDefault="00917636" w:rsidP="00917636">
      <w:r w:rsidRPr="008B4687">
        <w:t xml:space="preserve">Where the source platform is </w:t>
      </w:r>
      <w:r>
        <w:t>n</w:t>
      </w:r>
      <w:r w:rsidRPr="008B4687">
        <w:t>4cloud, the Customer acknowledges that they may be required to “failback” to the original platform at a mutually agreed time after the source platform has been declared as having “resumed normal operations” by Node4.</w:t>
      </w:r>
    </w:p>
    <w:p w14:paraId="5B9F3113" w14:textId="656D6AA1" w:rsidR="00F4051C" w:rsidRDefault="00F4051C" w:rsidP="00F8436C"/>
    <w:p w14:paraId="6BC02A44" w14:textId="77777777" w:rsidR="000D3424" w:rsidRDefault="000D3424" w:rsidP="000D3424">
      <w:r>
        <w:lastRenderedPageBreak/>
        <w:t>The Node4 service allows customers to create customised Recovery Time Objectives (RTO) and Recovery Point Objectives (RPO) and multiple points within a contiguous five day period. These objectives:</w:t>
      </w:r>
    </w:p>
    <w:p w14:paraId="4622651E" w14:textId="77777777" w:rsidR="000D3424" w:rsidRDefault="000D3424" w:rsidP="000D3424">
      <w:pPr>
        <w:pStyle w:val="ListParagraph"/>
        <w:numPr>
          <w:ilvl w:val="0"/>
          <w:numId w:val="32"/>
        </w:numPr>
        <w:spacing w:before="120" w:after="120" w:afterAutospacing="0"/>
        <w:ind w:left="360"/>
        <w:contextualSpacing w:val="0"/>
      </w:pPr>
      <w:r>
        <w:t>should be considered as “targets” which are not guaranteed or measured;</w:t>
      </w:r>
    </w:p>
    <w:p w14:paraId="308E17D3" w14:textId="77777777" w:rsidR="000D3424" w:rsidRDefault="000D3424" w:rsidP="000D3424">
      <w:pPr>
        <w:pStyle w:val="ListParagraph"/>
        <w:numPr>
          <w:ilvl w:val="0"/>
          <w:numId w:val="32"/>
        </w:numPr>
        <w:spacing w:before="120" w:after="120" w:afterAutospacing="0"/>
        <w:ind w:left="360"/>
        <w:contextualSpacing w:val="0"/>
      </w:pPr>
      <w:r>
        <w:t>cover the time to make the standby VM ready to be booted, and do not include the time taken to perform infrastructure tasks outside of the recovery software, such as booting the operating system in the standby VMs;</w:t>
      </w:r>
    </w:p>
    <w:p w14:paraId="5634D105" w14:textId="77777777" w:rsidR="000D3424" w:rsidRDefault="000D3424" w:rsidP="000D3424">
      <w:pPr>
        <w:pStyle w:val="ListParagraph"/>
        <w:numPr>
          <w:ilvl w:val="0"/>
          <w:numId w:val="32"/>
        </w:numPr>
        <w:spacing w:before="120" w:after="120" w:afterAutospacing="0"/>
        <w:ind w:left="360"/>
        <w:contextualSpacing w:val="0"/>
      </w:pPr>
      <w:r>
        <w:t>may be affected if a large number of virtual machines (for a single Customer or multiple Customers) experience a “disaster recovery event” at the same time;</w:t>
      </w:r>
    </w:p>
    <w:p w14:paraId="43437EB7" w14:textId="77777777" w:rsidR="000D3424" w:rsidRDefault="000D3424" w:rsidP="000D3424">
      <w:pPr>
        <w:pStyle w:val="ListParagraph"/>
        <w:numPr>
          <w:ilvl w:val="0"/>
          <w:numId w:val="32"/>
        </w:numPr>
        <w:spacing w:before="120" w:after="120" w:afterAutospacing="0"/>
        <w:ind w:left="360"/>
        <w:contextualSpacing w:val="0"/>
      </w:pPr>
      <w:r>
        <w:t>do not include any time involved to ‘invoke’ the disaster recovery process such as placing a call to the Node4 helpdesk.</w:t>
      </w:r>
    </w:p>
    <w:p w14:paraId="0F60FA6A" w14:textId="77777777" w:rsidR="000D3424" w:rsidRDefault="000D3424" w:rsidP="000D3424">
      <w:r>
        <w:t>The service is designed to recover the virtual machine image and additional time may be required for applications such as Microsoft SQL Server to become operational. Whilst the software does replicate applications as part of the virtual machine image, the service cannot guarantee that such applications will definitely become operational again, and so it is strongly recommended that the Customer performs disaster recovery tests to maximise the probability that service can be restored.</w:t>
      </w:r>
    </w:p>
    <w:p w14:paraId="1673765F" w14:textId="77777777" w:rsidR="000D3424" w:rsidRDefault="000D3424" w:rsidP="000D3424">
      <w:r>
        <w:t>The service is designed to perform replication, but not backup. Therefore if a source virtual machine becomes corrupted, this corruption will be replicated to the standby VM. In this case, the standby VM would not be operational and the RTO/RPO would be null and void. Therefore it is required that the Customer has a backup system in place to protect their environment. The Customer acknowledges that, if those backups are not also copied to a second site, it may not be possible to resume service if the only copy available is the replicated copy of a corrupt virtual machine.</w:t>
      </w:r>
    </w:p>
    <w:p w14:paraId="6690E763" w14:textId="77777777" w:rsidR="000D3424" w:rsidRDefault="000D3424" w:rsidP="000D3424">
      <w:r>
        <w:t>In the event that failover is required, Customers can evoke in one of the following ways;</w:t>
      </w:r>
    </w:p>
    <w:p w14:paraId="6009A8BD" w14:textId="77777777" w:rsidR="000D3424" w:rsidRPr="00C379F9" w:rsidRDefault="000D3424" w:rsidP="000D3424">
      <w:pPr>
        <w:pStyle w:val="ListParagraph"/>
        <w:numPr>
          <w:ilvl w:val="0"/>
          <w:numId w:val="32"/>
        </w:numPr>
        <w:spacing w:before="120" w:after="120" w:afterAutospacing="0"/>
        <w:ind w:left="360"/>
        <w:contextualSpacing w:val="0"/>
      </w:pPr>
      <w:r w:rsidRPr="00C379F9">
        <w:t>Access</w:t>
      </w:r>
      <w:r>
        <w:t>ing</w:t>
      </w:r>
      <w:r w:rsidRPr="00C379F9">
        <w:t xml:space="preserve"> the DRaaS </w:t>
      </w:r>
      <w:r>
        <w:t>P</w:t>
      </w:r>
      <w:r w:rsidRPr="00C379F9">
        <w:t>ortal</w:t>
      </w:r>
      <w:r>
        <w:t>;</w:t>
      </w:r>
    </w:p>
    <w:p w14:paraId="6D9B4A73" w14:textId="77777777" w:rsidR="000D3424" w:rsidRPr="00C379F9" w:rsidRDefault="000D3424" w:rsidP="000D3424">
      <w:pPr>
        <w:pStyle w:val="ListParagraph"/>
        <w:numPr>
          <w:ilvl w:val="0"/>
          <w:numId w:val="32"/>
        </w:numPr>
        <w:spacing w:before="120" w:after="120" w:afterAutospacing="0"/>
        <w:ind w:left="360"/>
        <w:contextualSpacing w:val="0"/>
      </w:pPr>
      <w:r w:rsidRPr="00C379F9">
        <w:t xml:space="preserve">Calling Customer Support on </w:t>
      </w:r>
      <w:r w:rsidRPr="00C379F9">
        <w:rPr>
          <w:shd w:val="clear" w:color="auto" w:fill="FFFFFF"/>
        </w:rPr>
        <w:t xml:space="preserve">0845 123 2229 where a support ticket will be </w:t>
      </w:r>
      <w:r>
        <w:rPr>
          <w:shd w:val="clear" w:color="auto" w:fill="FFFFFF"/>
        </w:rPr>
        <w:t>raised on the customer’s behalf;</w:t>
      </w:r>
    </w:p>
    <w:p w14:paraId="79841E47" w14:textId="77777777" w:rsidR="000D3424" w:rsidRDefault="000D3424" w:rsidP="000D3424">
      <w:pPr>
        <w:pStyle w:val="ListParagraph"/>
        <w:numPr>
          <w:ilvl w:val="0"/>
          <w:numId w:val="32"/>
        </w:numPr>
        <w:spacing w:before="120" w:after="120" w:afterAutospacing="0"/>
        <w:ind w:left="360"/>
        <w:contextualSpacing w:val="0"/>
      </w:pPr>
      <w:r>
        <w:t xml:space="preserve">Raising a support ticket via email to </w:t>
      </w:r>
      <w:hyperlink r:id="rId16" w:history="1">
        <w:r w:rsidRPr="00D83190">
          <w:rPr>
            <w:rStyle w:val="Hyperlink"/>
          </w:rPr>
          <w:t>support@node4.co.uk</w:t>
        </w:r>
      </w:hyperlink>
      <w:r>
        <w:t>. This option is not recommended where recovery is urgent, as delivery of e-mail cannot be guaranteed.</w:t>
      </w:r>
    </w:p>
    <w:p w14:paraId="5C8A7769" w14:textId="77777777" w:rsidR="000D3424" w:rsidRDefault="000D3424" w:rsidP="000D3424">
      <w:r>
        <w:t xml:space="preserve">The Customer is responsible for ensuring that they are compliant with software licensing terms for software replicated to the n4Cloud platform, which may involve the need to purchase additional licenses. </w:t>
      </w:r>
    </w:p>
    <w:p w14:paraId="4713ED75" w14:textId="0B770CAD" w:rsidR="000D3424" w:rsidRPr="00600920" w:rsidRDefault="000D3424" w:rsidP="000D3424">
      <w:pPr>
        <w:pStyle w:val="Heading2"/>
      </w:pPr>
      <w:r w:rsidRPr="00600920">
        <w:t>D</w:t>
      </w:r>
      <w:r>
        <w:t xml:space="preserve">efinitions </w:t>
      </w:r>
    </w:p>
    <w:p w14:paraId="62897413" w14:textId="77777777" w:rsidR="000D3424" w:rsidRPr="00600920" w:rsidRDefault="000D3424" w:rsidP="000D3424">
      <w:r w:rsidRPr="002A2301">
        <w:rPr>
          <w:rStyle w:val="Emphasis"/>
        </w:rPr>
        <w:t>“Customer Responsible Faults”</w:t>
      </w:r>
      <w:r w:rsidRPr="00600920">
        <w:rPr>
          <w:i/>
          <w:iCs/>
          <w:color w:val="16365D"/>
        </w:rPr>
        <w:t xml:space="preserve"> </w:t>
      </w:r>
      <w:r w:rsidRPr="00600920">
        <w:t xml:space="preserve">means in the event that a Service Affecting or Non-Service Affecting Fault is identified as being attributable to Customer </w:t>
      </w:r>
      <w:r>
        <w:t>p</w:t>
      </w:r>
      <w:r w:rsidRPr="00600920">
        <w:t xml:space="preserve">rovided </w:t>
      </w:r>
      <w:r>
        <w:t>e</w:t>
      </w:r>
      <w:r w:rsidRPr="00600920">
        <w:t>quipment, Premises, Customer power supplies, or the action of the Customer, employees or agents of the Customer, the fault shall be deemed the responsibility of the Customer. Any downtime shall not be included in service availability measurements and does not qualify for compensation.</w:t>
      </w:r>
    </w:p>
    <w:p w14:paraId="4E36DD2F" w14:textId="77777777" w:rsidR="000D3424" w:rsidRDefault="000D3424" w:rsidP="000D3424">
      <w:r w:rsidRPr="002A2301">
        <w:rPr>
          <w:rStyle w:val="Emphasis"/>
        </w:rPr>
        <w:t xml:space="preserve">“Contracted Support Hours” </w:t>
      </w:r>
      <w:r w:rsidRPr="00600920">
        <w:t xml:space="preserve">Bronze, Silver, Silver Plus and Gold support levels as identified in </w:t>
      </w:r>
      <w:r>
        <w:t>Incident Management Schedule</w:t>
      </w:r>
      <w:r w:rsidRPr="00600920">
        <w:t>.</w:t>
      </w:r>
    </w:p>
    <w:p w14:paraId="29D03D93" w14:textId="77777777" w:rsidR="000D3424" w:rsidRPr="002A2301" w:rsidRDefault="000D3424" w:rsidP="000D3424">
      <w:r w:rsidRPr="00D50405">
        <w:rPr>
          <w:rStyle w:val="Emphasis"/>
        </w:rPr>
        <w:t>“DRaaS</w:t>
      </w:r>
      <w:r>
        <w:rPr>
          <w:rStyle w:val="Emphasis"/>
        </w:rPr>
        <w:t xml:space="preserve"> </w:t>
      </w:r>
      <w:r w:rsidRPr="00D50405">
        <w:rPr>
          <w:rStyle w:val="Emphasis"/>
        </w:rPr>
        <w:t>Portal”</w:t>
      </w:r>
      <w:r w:rsidRPr="00D50405">
        <w:rPr>
          <w:i/>
          <w:iCs/>
          <w:color w:val="16365D"/>
        </w:rPr>
        <w:t xml:space="preserve"> </w:t>
      </w:r>
      <w:r w:rsidRPr="00D50405">
        <w:t>means the website that the Customer may use to view and configure their DRaaS services.</w:t>
      </w:r>
      <w:r w:rsidRPr="00600920">
        <w:t xml:space="preserve"> </w:t>
      </w:r>
    </w:p>
    <w:p w14:paraId="34D700A7" w14:textId="77777777" w:rsidR="000D3424" w:rsidRPr="00600920" w:rsidRDefault="000D3424" w:rsidP="000D3424">
      <w:r w:rsidRPr="002A2301">
        <w:rPr>
          <w:rStyle w:val="Emphasis"/>
        </w:rPr>
        <w:t>“Fault Ticket Number”</w:t>
      </w:r>
      <w:r w:rsidRPr="00600920">
        <w:rPr>
          <w:i/>
          <w:iCs/>
          <w:color w:val="16365D"/>
        </w:rPr>
        <w:t xml:space="preserve"> </w:t>
      </w:r>
      <w:r w:rsidRPr="00600920">
        <w:t>means the unique number issued when logging a fault with Node4.</w:t>
      </w:r>
    </w:p>
    <w:p w14:paraId="3740CEC0" w14:textId="77777777" w:rsidR="000D3424" w:rsidRPr="00600920" w:rsidRDefault="000D3424" w:rsidP="000D3424">
      <w:r w:rsidRPr="002A2301">
        <w:rPr>
          <w:rStyle w:val="Emphasis"/>
        </w:rPr>
        <w:t>“Monthly Review Period”</w:t>
      </w:r>
      <w:r w:rsidRPr="00600920">
        <w:rPr>
          <w:i/>
          <w:iCs/>
          <w:color w:val="16365D"/>
        </w:rPr>
        <w:t xml:space="preserve"> </w:t>
      </w:r>
      <w:r w:rsidRPr="00600920">
        <w:t xml:space="preserve">means the calendar monthly periods commencing on the 1st of each month during the Term, over which Service performance measurements are calculated, provided that the first Monthly Review Period will commence on </w:t>
      </w:r>
      <w:r>
        <w:t>Ready for Service Notification</w:t>
      </w:r>
      <w:r w:rsidRPr="00600920">
        <w:t xml:space="preserve">; </w:t>
      </w:r>
    </w:p>
    <w:p w14:paraId="4C486B8C" w14:textId="77777777" w:rsidR="000D3424" w:rsidRPr="00600920" w:rsidRDefault="000D3424" w:rsidP="000D3424">
      <w:r w:rsidRPr="002A2301">
        <w:rPr>
          <w:rStyle w:val="Emphasis"/>
        </w:rPr>
        <w:t>“Network Management System”</w:t>
      </w:r>
      <w:r w:rsidRPr="00600920">
        <w:rPr>
          <w:i/>
          <w:iCs/>
          <w:color w:val="16365D"/>
        </w:rPr>
        <w:t xml:space="preserve"> </w:t>
      </w:r>
      <w:r w:rsidRPr="00600920">
        <w:t xml:space="preserve">means Node4’s network integrated fault management system; </w:t>
      </w:r>
    </w:p>
    <w:p w14:paraId="1152C4DC" w14:textId="77777777" w:rsidR="000D3424" w:rsidRPr="00600920" w:rsidRDefault="000D3424" w:rsidP="000D3424">
      <w:r w:rsidRPr="002A2301">
        <w:rPr>
          <w:rStyle w:val="Emphasis"/>
        </w:rPr>
        <w:t>“Node4 Network”</w:t>
      </w:r>
      <w:r w:rsidRPr="00600920">
        <w:rPr>
          <w:i/>
          <w:iCs/>
          <w:color w:val="16365D"/>
        </w:rPr>
        <w:t xml:space="preserve"> </w:t>
      </w:r>
      <w:r w:rsidRPr="00600920">
        <w:t xml:space="preserve">means the network wholly owned and managed by Node4; </w:t>
      </w:r>
    </w:p>
    <w:p w14:paraId="2F56EE16" w14:textId="77777777" w:rsidR="000D3424" w:rsidRPr="00600920" w:rsidRDefault="000D3424" w:rsidP="000D3424">
      <w:r w:rsidRPr="002A2301">
        <w:rPr>
          <w:rStyle w:val="Emphasis"/>
        </w:rPr>
        <w:t>“Non-Service Affecting Fault”</w:t>
      </w:r>
      <w:r w:rsidRPr="00600920">
        <w:rPr>
          <w:i/>
          <w:iCs/>
          <w:color w:val="16365D"/>
        </w:rPr>
        <w:t xml:space="preserve"> </w:t>
      </w:r>
      <w:r w:rsidRPr="00600920">
        <w:t xml:space="preserve">means a fault or condition which is not a Service Affecting Fault. </w:t>
      </w:r>
    </w:p>
    <w:p w14:paraId="34F88461" w14:textId="77777777" w:rsidR="000D3424" w:rsidRPr="00600920" w:rsidRDefault="000D3424" w:rsidP="000D3424">
      <w:r w:rsidRPr="002A2301">
        <w:rPr>
          <w:rStyle w:val="Emphasis"/>
        </w:rPr>
        <w:t>“Planned Outage”</w:t>
      </w:r>
      <w:r w:rsidRPr="00600920">
        <w:rPr>
          <w:i/>
          <w:iCs/>
          <w:color w:val="16365D"/>
        </w:rPr>
        <w:t xml:space="preserve"> </w:t>
      </w:r>
      <w:r w:rsidRPr="00600920">
        <w:t xml:space="preserve">means in maintaining the service provided, Node4 may with reasonable notice </w:t>
      </w:r>
      <w:r w:rsidRPr="00600920">
        <w:lastRenderedPageBreak/>
        <w:t>require a temporary outage in service. Wherever possible Node4 will agree the outage with you in advance of the required work. Any planned downtime shall not be included in fault or service reliability measurements.</w:t>
      </w:r>
    </w:p>
    <w:p w14:paraId="3CFB5488" w14:textId="77777777" w:rsidR="000D3424" w:rsidRPr="00600920" w:rsidRDefault="000D3424" w:rsidP="000D3424">
      <w:r w:rsidRPr="002A2301">
        <w:rPr>
          <w:rStyle w:val="Emphasis"/>
        </w:rPr>
        <w:t xml:space="preserve">“Professional Service </w:t>
      </w:r>
      <w:r>
        <w:rPr>
          <w:rStyle w:val="Emphasis"/>
        </w:rPr>
        <w:t>Fees</w:t>
      </w:r>
      <w:r w:rsidRPr="002A2301">
        <w:rPr>
          <w:rStyle w:val="Emphasis"/>
        </w:rPr>
        <w:t>”</w:t>
      </w:r>
      <w:r w:rsidRPr="00600920">
        <w:rPr>
          <w:i/>
          <w:iCs/>
          <w:color w:val="16365D"/>
        </w:rPr>
        <w:t xml:space="preserve"> </w:t>
      </w:r>
      <w:r w:rsidRPr="00600920">
        <w:t>means the professional service charges detailed on the Order Form or otherwise agreed in writing between the Parties in accordance with Clause 4 below;</w:t>
      </w:r>
    </w:p>
    <w:p w14:paraId="10E6B056" w14:textId="77777777" w:rsidR="000D3424" w:rsidRPr="00600920" w:rsidRDefault="000D3424" w:rsidP="000D3424">
      <w:r w:rsidRPr="002A2301">
        <w:rPr>
          <w:rStyle w:val="Emphasis"/>
        </w:rPr>
        <w:t>“Service Affecting Fault (SAF)”</w:t>
      </w:r>
      <w:r w:rsidRPr="00600920">
        <w:rPr>
          <w:i/>
          <w:iCs/>
          <w:color w:val="16365D"/>
        </w:rPr>
        <w:t xml:space="preserve"> </w:t>
      </w:r>
      <w:r w:rsidRPr="00600920">
        <w:t>means any failure of Node4 Network, equipment or service, which, in our reasonable opinion causes a loss of a customer’s service. In all such cases the service shall be deemed unavailable and the length of downtime recorded by Node4 from when the fault is registered by Node4 and a fault ticket number allocated.</w:t>
      </w:r>
    </w:p>
    <w:p w14:paraId="7D079F4A" w14:textId="77777777" w:rsidR="000D3424" w:rsidRDefault="000D3424" w:rsidP="000D3424">
      <w:r w:rsidRPr="002A2301">
        <w:rPr>
          <w:rStyle w:val="Emphasis"/>
        </w:rPr>
        <w:t>“Service Availability”</w:t>
      </w:r>
      <w:r w:rsidRPr="00600920">
        <w:rPr>
          <w:i/>
          <w:iCs/>
          <w:color w:val="16365D"/>
        </w:rPr>
        <w:t xml:space="preserve"> </w:t>
      </w:r>
      <w:r w:rsidRPr="00600920">
        <w:t>means the time for which a Node4 service is usable, expressed as a percentage of the total time in a given Service Measurement Period. The Node4 service shall be deemed available for the purposes of calculating Service Availability</w:t>
      </w:r>
      <w:r>
        <w:t>, even</w:t>
      </w:r>
      <w:r w:rsidRPr="00600920">
        <w:t xml:space="preserve"> if it is not usable</w:t>
      </w:r>
      <w:r>
        <w:t>,</w:t>
      </w:r>
      <w:r w:rsidRPr="00600920">
        <w:t xml:space="preserve"> due to</w:t>
      </w:r>
      <w:r>
        <w:t>:</w:t>
      </w:r>
    </w:p>
    <w:p w14:paraId="2876E819" w14:textId="77777777" w:rsidR="000D3424" w:rsidRDefault="000D3424" w:rsidP="000D3424">
      <w:pPr>
        <w:pStyle w:val="ListParagraph"/>
        <w:numPr>
          <w:ilvl w:val="0"/>
          <w:numId w:val="32"/>
        </w:numPr>
        <w:spacing w:before="120" w:after="120" w:afterAutospacing="0"/>
        <w:ind w:left="360"/>
        <w:contextualSpacing w:val="0"/>
      </w:pPr>
      <w:r w:rsidRPr="00600920">
        <w:t>an event outside our reasonable control</w:t>
      </w:r>
      <w:r>
        <w:t>;</w:t>
      </w:r>
    </w:p>
    <w:p w14:paraId="74B2D7A1" w14:textId="77777777" w:rsidR="000D3424" w:rsidRDefault="000D3424" w:rsidP="000D3424">
      <w:pPr>
        <w:pStyle w:val="ListParagraph"/>
        <w:numPr>
          <w:ilvl w:val="0"/>
          <w:numId w:val="32"/>
        </w:numPr>
        <w:spacing w:before="120" w:after="120" w:afterAutospacing="0"/>
        <w:ind w:left="360"/>
        <w:contextualSpacing w:val="0"/>
      </w:pPr>
      <w:r w:rsidRPr="00600920">
        <w:t>a Customer Responsible Fault</w:t>
      </w:r>
      <w:r>
        <w:t>;</w:t>
      </w:r>
    </w:p>
    <w:p w14:paraId="0C071F72" w14:textId="77777777" w:rsidR="000D3424" w:rsidRDefault="000D3424" w:rsidP="000D3424">
      <w:pPr>
        <w:pStyle w:val="ListParagraph"/>
        <w:numPr>
          <w:ilvl w:val="0"/>
          <w:numId w:val="32"/>
        </w:numPr>
        <w:spacing w:before="120" w:after="120" w:afterAutospacing="0"/>
        <w:ind w:left="360"/>
        <w:contextualSpacing w:val="0"/>
      </w:pPr>
      <w:r w:rsidRPr="00600920">
        <w:t xml:space="preserve">a Third Party Attributable Fault </w:t>
      </w:r>
    </w:p>
    <w:p w14:paraId="084E17E2" w14:textId="77777777" w:rsidR="000D3424" w:rsidRPr="00EC2FB1" w:rsidRDefault="000D3424" w:rsidP="000D3424">
      <w:pPr>
        <w:pStyle w:val="ListParagraph"/>
        <w:numPr>
          <w:ilvl w:val="0"/>
          <w:numId w:val="32"/>
        </w:numPr>
        <w:spacing w:before="120" w:after="120" w:afterAutospacing="0"/>
        <w:ind w:left="360"/>
        <w:contextualSpacing w:val="0"/>
        <w:rPr>
          <w:rStyle w:val="Emphasis"/>
          <w:b w:val="0"/>
          <w:bCs w:val="0"/>
          <w:i w:val="0"/>
          <w:iCs w:val="0"/>
        </w:rPr>
      </w:pPr>
      <w:r w:rsidRPr="00600920">
        <w:t>due to a Planned Outage</w:t>
      </w:r>
      <w:r>
        <w:t xml:space="preserve"> including patching and software upgrades</w:t>
      </w:r>
    </w:p>
    <w:p w14:paraId="36F6E6CF" w14:textId="77777777" w:rsidR="000D3424" w:rsidRPr="005C1C59" w:rsidRDefault="000D3424" w:rsidP="000D3424">
      <w:pPr>
        <w:rPr>
          <w:rFonts w:cs="Arial"/>
        </w:rPr>
      </w:pPr>
      <w:r w:rsidRPr="00440E96">
        <w:rPr>
          <w:rFonts w:cs="Arial"/>
          <w:b/>
        </w:rPr>
        <w:t>“Standard MAC”</w:t>
      </w:r>
      <w:r w:rsidRPr="005C1C59">
        <w:rPr>
          <w:rFonts w:cs="Arial"/>
        </w:rPr>
        <w:t xml:space="preserve"> </w:t>
      </w:r>
      <w:r>
        <w:rPr>
          <w:rFonts w:cs="Arial"/>
        </w:rPr>
        <w:t xml:space="preserve">means </w:t>
      </w:r>
      <w:r w:rsidRPr="005C1C59">
        <w:rPr>
          <w:rFonts w:cs="Arial"/>
        </w:rPr>
        <w:t xml:space="preserve">a change to one device which can be completed within 30 minutes by a technical support engineer </w:t>
      </w:r>
      <w:r>
        <w:rPr>
          <w:rFonts w:cs="Arial"/>
        </w:rPr>
        <w:t>between 7am and 7pm Monday to Friday</w:t>
      </w:r>
      <w:r w:rsidRPr="005C1C59">
        <w:rPr>
          <w:rFonts w:cs="Arial"/>
        </w:rPr>
        <w:t>.</w:t>
      </w:r>
    </w:p>
    <w:p w14:paraId="39016565" w14:textId="77777777" w:rsidR="000D3424" w:rsidRPr="00600920" w:rsidRDefault="000D3424" w:rsidP="000D3424">
      <w:r w:rsidRPr="002A2301">
        <w:rPr>
          <w:rStyle w:val="Emphasis"/>
        </w:rPr>
        <w:t xml:space="preserve"> “Technical Support Centre”</w:t>
      </w:r>
      <w:r w:rsidRPr="00600920">
        <w:rPr>
          <w:i/>
          <w:iCs/>
          <w:color w:val="16365D"/>
        </w:rPr>
        <w:t xml:space="preserve"> </w:t>
      </w:r>
      <w:r w:rsidRPr="00600920">
        <w:t xml:space="preserve">means Node4’s fault management centre, which operates the Node4 Network Management System; </w:t>
      </w:r>
    </w:p>
    <w:p w14:paraId="059BB780" w14:textId="77777777" w:rsidR="000D3424" w:rsidRPr="00D50405" w:rsidRDefault="000D3424" w:rsidP="000D3424">
      <w:r w:rsidRPr="002A2301">
        <w:rPr>
          <w:rStyle w:val="Emphasis"/>
        </w:rPr>
        <w:t>“Time To Resolve Fault (TTRF)”</w:t>
      </w:r>
      <w:r w:rsidRPr="00600920">
        <w:rPr>
          <w:i/>
          <w:iCs/>
          <w:color w:val="16365D"/>
        </w:rPr>
        <w:t xml:space="preserve"> </w:t>
      </w:r>
      <w:r w:rsidRPr="00600920">
        <w:t xml:space="preserve">means the length of time from the issue of the fault ticket number to repair and resolution or the </w:t>
      </w:r>
      <w:r w:rsidRPr="00D50405">
        <w:t>service.</w:t>
      </w:r>
    </w:p>
    <w:p w14:paraId="41DB5AE1" w14:textId="1FD91940" w:rsidR="000D3424" w:rsidRPr="00440E96" w:rsidRDefault="000D3424" w:rsidP="000D3424">
      <w:pPr>
        <w:pStyle w:val="Heading2"/>
        <w:ind w:left="426" w:hanging="426"/>
        <w:rPr>
          <w:rFonts w:cs="Arial"/>
        </w:rPr>
      </w:pPr>
      <w:r w:rsidRPr="00440E96">
        <w:rPr>
          <w:rFonts w:cs="Arial"/>
        </w:rPr>
        <w:t>S</w:t>
      </w:r>
      <w:r w:rsidR="008622B5">
        <w:rPr>
          <w:rFonts w:cs="Arial"/>
        </w:rPr>
        <w:t>pecific t</w:t>
      </w:r>
      <w:r>
        <w:rPr>
          <w:rFonts w:cs="Arial"/>
        </w:rPr>
        <w:t xml:space="preserve">erms </w:t>
      </w:r>
    </w:p>
    <w:p w14:paraId="173A381E" w14:textId="77777777" w:rsidR="000D3424" w:rsidRDefault="000D3424" w:rsidP="000D3424">
      <w:pPr>
        <w:rPr>
          <w:rFonts w:cs="Arial"/>
        </w:rPr>
      </w:pPr>
      <w:r w:rsidRPr="00440E96">
        <w:rPr>
          <w:rFonts w:cs="Arial"/>
        </w:rPr>
        <w:t xml:space="preserve">The following terms and conditions shall apply when Node4 provides </w:t>
      </w:r>
      <w:r>
        <w:rPr>
          <w:rFonts w:cs="Arial"/>
        </w:rPr>
        <w:t>DRaas</w:t>
      </w:r>
      <w:r w:rsidRPr="00440E96">
        <w:rPr>
          <w:rFonts w:cs="Arial"/>
        </w:rPr>
        <w:t xml:space="preserve"> services to the Customer.</w:t>
      </w:r>
    </w:p>
    <w:p w14:paraId="2F878A3A" w14:textId="3963B926" w:rsidR="000D3424" w:rsidRPr="00600920" w:rsidRDefault="000D3424" w:rsidP="000D3424">
      <w:pPr>
        <w:pStyle w:val="Heading3"/>
      </w:pPr>
      <w:r>
        <w:t>M</w:t>
      </w:r>
      <w:r w:rsidRPr="00600920">
        <w:t>in</w:t>
      </w:r>
      <w:bookmarkStart w:id="0" w:name="_GoBack"/>
      <w:bookmarkEnd w:id="0"/>
      <w:r w:rsidRPr="00600920">
        <w:t xml:space="preserve">imum commitment </w:t>
      </w:r>
    </w:p>
    <w:p w14:paraId="7DCE96CD" w14:textId="77777777" w:rsidR="000D3424" w:rsidRDefault="000D3424" w:rsidP="000D3424">
      <w:r w:rsidRPr="00EF2473">
        <w:t xml:space="preserve">The service is subject to a minimum contract term </w:t>
      </w:r>
      <w:r w:rsidRPr="003304C1">
        <w:t>of 12 months</w:t>
      </w:r>
      <w:r w:rsidRPr="00F86983">
        <w:t>.  For termination of the services, there is a minimum notice period of</w:t>
      </w:r>
      <w:r w:rsidRPr="00EF2473">
        <w:t xml:space="preserve"> </w:t>
      </w:r>
      <w:r>
        <w:t>3</w:t>
      </w:r>
      <w:r w:rsidRPr="00F86983">
        <w:t>0 days</w:t>
      </w:r>
      <w:r w:rsidRPr="00EF2473">
        <w:t xml:space="preserve"> written notice</w:t>
      </w:r>
      <w:r>
        <w:t>,</w:t>
      </w:r>
      <w:r w:rsidRPr="00EF2473">
        <w:t xml:space="preserve"> the earliest of which can be given at the end of the minimum contract term. Details of minimum commitment terms for additional services shall be detailed </w:t>
      </w:r>
      <w:r>
        <w:t>on</w:t>
      </w:r>
      <w:r w:rsidRPr="00EF2473">
        <w:t xml:space="preserve"> the Order</w:t>
      </w:r>
      <w:r>
        <w:t xml:space="preserve"> Form</w:t>
      </w:r>
      <w:r w:rsidRPr="00EF2473">
        <w:t>.</w:t>
      </w:r>
    </w:p>
    <w:p w14:paraId="797C3E77" w14:textId="77777777" w:rsidR="000D3424" w:rsidRPr="00EC2FB1" w:rsidRDefault="000D3424" w:rsidP="000D3424">
      <w:r>
        <w:t xml:space="preserve">Fees for the service shall apply at the full monthly rate from the first day of the month in which the </w:t>
      </w:r>
      <w:r>
        <w:rPr>
          <w:i/>
        </w:rPr>
        <w:t>Service Commencement Date</w:t>
      </w:r>
      <w:r>
        <w:t xml:space="preserve"> occurs, until the last calendar day of the month in which the service has been terminated.</w:t>
      </w:r>
      <w:r w:rsidRPr="00440E96">
        <w:rPr>
          <w:rFonts w:cs="Arial"/>
        </w:rPr>
        <w:t xml:space="preserve"> </w:t>
      </w:r>
    </w:p>
    <w:p w14:paraId="2E754F25" w14:textId="118D00D9" w:rsidR="000D3424" w:rsidRPr="002A2301" w:rsidRDefault="000D3424" w:rsidP="000D3424">
      <w:pPr>
        <w:pStyle w:val="Heading2"/>
      </w:pPr>
      <w:r>
        <w:t xml:space="preserve">Fees </w:t>
      </w:r>
    </w:p>
    <w:p w14:paraId="656A1847" w14:textId="68615E92" w:rsidR="000D3424" w:rsidRPr="00600920" w:rsidRDefault="000D3424" w:rsidP="000D3424">
      <w:pPr>
        <w:pStyle w:val="Heading3"/>
      </w:pPr>
      <w:r>
        <w:t>Fees</w:t>
      </w:r>
      <w:r w:rsidRPr="00600920">
        <w:t xml:space="preserve"> payable by t</w:t>
      </w:r>
      <w:r w:rsidR="008622B5">
        <w:t>he c</w:t>
      </w:r>
      <w:r w:rsidRPr="00600920">
        <w:t xml:space="preserve">ustomer </w:t>
      </w:r>
    </w:p>
    <w:p w14:paraId="323253D4" w14:textId="77777777" w:rsidR="000D3424" w:rsidRDefault="000D3424" w:rsidP="000D3424">
      <w:r>
        <w:rPr>
          <w:rFonts w:cs="Helvetica-Narrow"/>
        </w:rPr>
        <w:t xml:space="preserve">Fees will </w:t>
      </w:r>
      <w:r>
        <w:t>commence when Ready For Service Notification is provided by Node4, this will follow</w:t>
      </w:r>
      <w:r>
        <w:rPr>
          <w:rFonts w:cs="Arial"/>
        </w:rPr>
        <w:t xml:space="preserve"> notification from Node4 that the Service is active and available for Customer use. </w:t>
      </w:r>
      <w:r>
        <w:t>Fees may comprise any or all of the following aspects.</w:t>
      </w:r>
    </w:p>
    <w:p w14:paraId="4FC6C568" w14:textId="488A750E" w:rsidR="000D3424" w:rsidRPr="00600920" w:rsidRDefault="000D3424" w:rsidP="000D3424">
      <w:pPr>
        <w:pStyle w:val="Heading3"/>
      </w:pPr>
      <w:r>
        <w:t>Installatio</w:t>
      </w:r>
      <w:r w:rsidR="008622B5">
        <w:t>n and set-up f</w:t>
      </w:r>
      <w:r>
        <w:t>ees</w:t>
      </w:r>
      <w:r w:rsidRPr="00600920">
        <w:t xml:space="preserve"> </w:t>
      </w:r>
    </w:p>
    <w:p w14:paraId="178FF502" w14:textId="77777777" w:rsidR="000D3424" w:rsidRPr="002A2301" w:rsidRDefault="000D3424" w:rsidP="000D3424">
      <w:r w:rsidRPr="00600920">
        <w:t xml:space="preserve">Any applicable </w:t>
      </w:r>
      <w:r>
        <w:t xml:space="preserve">installation and </w:t>
      </w:r>
      <w:r w:rsidRPr="00600920">
        <w:t xml:space="preserve">set-up </w:t>
      </w:r>
      <w:r>
        <w:t xml:space="preserve">Fees </w:t>
      </w:r>
      <w:r w:rsidRPr="00600920">
        <w:t xml:space="preserve">for the implementation of the service shall be detailed on the </w:t>
      </w:r>
      <w:r>
        <w:t>Order Form.</w:t>
      </w:r>
      <w:r w:rsidRPr="00600920">
        <w:t xml:space="preserve"> </w:t>
      </w:r>
    </w:p>
    <w:p w14:paraId="08B7197C" w14:textId="7F5D603B" w:rsidR="000D3424" w:rsidRPr="00600920" w:rsidRDefault="000D3424" w:rsidP="000D3424">
      <w:pPr>
        <w:pStyle w:val="Heading3"/>
      </w:pPr>
      <w:r w:rsidRPr="00600920">
        <w:t xml:space="preserve">Rental </w:t>
      </w:r>
      <w:r w:rsidR="008622B5">
        <w:t>f</w:t>
      </w:r>
      <w:r>
        <w:t>ees</w:t>
      </w:r>
      <w:r w:rsidRPr="00600920">
        <w:t xml:space="preserve"> </w:t>
      </w:r>
    </w:p>
    <w:p w14:paraId="73594FA8" w14:textId="77777777" w:rsidR="000D3424" w:rsidRPr="006D3693" w:rsidRDefault="000D3424" w:rsidP="000D3424">
      <w:r w:rsidRPr="00600920">
        <w:t xml:space="preserve">Rental </w:t>
      </w:r>
      <w:r>
        <w:t>Fees</w:t>
      </w:r>
      <w:r w:rsidRPr="00600920">
        <w:t xml:space="preserve"> are paid either monthly or annually in advance </w:t>
      </w:r>
      <w:r w:rsidRPr="00C2764E">
        <w:t xml:space="preserve">based on the options </w:t>
      </w:r>
      <w:r w:rsidRPr="006D3693">
        <w:t xml:space="preserve">taken and any other related service and are identified on the </w:t>
      </w:r>
      <w:r>
        <w:t>Order Form</w:t>
      </w:r>
      <w:r w:rsidRPr="006D3693">
        <w:t xml:space="preserve">. </w:t>
      </w:r>
    </w:p>
    <w:p w14:paraId="4451E747" w14:textId="64C314AB" w:rsidR="000D3424" w:rsidRPr="00C2764E" w:rsidRDefault="000D3424" w:rsidP="000D3424">
      <w:pPr>
        <w:pStyle w:val="Heading3"/>
      </w:pPr>
      <w:r w:rsidRPr="00C2764E">
        <w:t xml:space="preserve">Bandwidth </w:t>
      </w:r>
      <w:r w:rsidR="008622B5">
        <w:t>f</w:t>
      </w:r>
      <w:r>
        <w:t>ees</w:t>
      </w:r>
      <w:r w:rsidRPr="00C2764E">
        <w:t xml:space="preserve"> </w:t>
      </w:r>
    </w:p>
    <w:p w14:paraId="15226364" w14:textId="77777777" w:rsidR="000D3424" w:rsidRPr="00C94CF5" w:rsidRDefault="000D3424" w:rsidP="000D3424">
      <w:r w:rsidRPr="005F2C68">
        <w:t>Bandwidth of 4Mbps to carry replication traffic is included by standard. This is a standard allowance and has not been sized</w:t>
      </w:r>
      <w:r>
        <w:t xml:space="preserve"> or deemed appropriate </w:t>
      </w:r>
      <w:r w:rsidRPr="005F2C68">
        <w:t>for individual requirements.</w:t>
      </w:r>
    </w:p>
    <w:p w14:paraId="634BA993" w14:textId="26159B5A" w:rsidR="000D3424" w:rsidRPr="00600920" w:rsidRDefault="000D3424" w:rsidP="000D3424">
      <w:pPr>
        <w:pStyle w:val="Heading3"/>
      </w:pPr>
      <w:r w:rsidRPr="00600920">
        <w:t xml:space="preserve">Additional </w:t>
      </w:r>
      <w:r w:rsidR="008622B5">
        <w:t>p</w:t>
      </w:r>
      <w:r w:rsidRPr="00600920">
        <w:t>r</w:t>
      </w:r>
      <w:r w:rsidR="008622B5">
        <w:t>ofessional s</w:t>
      </w:r>
      <w:r w:rsidRPr="00600920">
        <w:t xml:space="preserve">ervices </w:t>
      </w:r>
    </w:p>
    <w:p w14:paraId="68B559B8" w14:textId="77777777" w:rsidR="000D3424" w:rsidRDefault="000D3424" w:rsidP="000D3424">
      <w:r w:rsidRPr="00600920">
        <w:t xml:space="preserve">Professional Services </w:t>
      </w:r>
      <w:r>
        <w:t xml:space="preserve">may be purchased </w:t>
      </w:r>
      <w:r w:rsidRPr="00600920">
        <w:t>in addition to what is provided as part of the standard service.</w:t>
      </w:r>
      <w:r>
        <w:t xml:space="preserve"> A quote can be provided on request, based on Customer requirements. </w:t>
      </w:r>
      <w:r w:rsidRPr="00600920">
        <w:t xml:space="preserve"> </w:t>
      </w:r>
    </w:p>
    <w:p w14:paraId="103FE893" w14:textId="08FE2498" w:rsidR="000D3424" w:rsidRPr="002A2301" w:rsidRDefault="000D3424" w:rsidP="000D3424">
      <w:pPr>
        <w:pStyle w:val="Heading2"/>
      </w:pPr>
      <w:r w:rsidRPr="00600920">
        <w:t>P</w:t>
      </w:r>
      <w:r w:rsidR="008622B5">
        <w:t>rovision of s</w:t>
      </w:r>
      <w:r>
        <w:t xml:space="preserve">ervice </w:t>
      </w:r>
    </w:p>
    <w:p w14:paraId="7ECA051F" w14:textId="73C4B15C" w:rsidR="000D3424" w:rsidRPr="00600920" w:rsidRDefault="008622B5" w:rsidP="000D3424">
      <w:pPr>
        <w:pStyle w:val="Heading3"/>
      </w:pPr>
      <w:r>
        <w:t>Software updates &amp; p</w:t>
      </w:r>
      <w:r w:rsidR="000D3424" w:rsidRPr="00600920">
        <w:t xml:space="preserve">atches </w:t>
      </w:r>
    </w:p>
    <w:p w14:paraId="27337F88" w14:textId="77777777" w:rsidR="000D3424" w:rsidRDefault="000D3424" w:rsidP="000D3424">
      <w:r w:rsidRPr="00600920">
        <w:t>As part of the service</w:t>
      </w:r>
      <w:r>
        <w:t>, Node4 shall apply</w:t>
      </w:r>
      <w:r w:rsidRPr="00600920">
        <w:t xml:space="preserve"> software updates and patches to the </w:t>
      </w:r>
      <w:r>
        <w:t>following systems</w:t>
      </w:r>
      <w:r w:rsidRPr="00600920">
        <w:t xml:space="preserve"> when </w:t>
      </w:r>
      <w:r w:rsidRPr="00600920">
        <w:lastRenderedPageBreak/>
        <w:t>they are required due to software defect (bug) or security vulnerability</w:t>
      </w:r>
      <w:r>
        <w:t xml:space="preserve"> identified by the vendor:</w:t>
      </w:r>
    </w:p>
    <w:p w14:paraId="7DB05540" w14:textId="77777777" w:rsidR="000D3424" w:rsidRDefault="000D3424" w:rsidP="000D3424">
      <w:pPr>
        <w:pStyle w:val="ListParagraph"/>
        <w:numPr>
          <w:ilvl w:val="0"/>
          <w:numId w:val="32"/>
        </w:numPr>
        <w:spacing w:before="120" w:after="120" w:afterAutospacing="0"/>
        <w:ind w:left="360"/>
        <w:contextualSpacing w:val="0"/>
      </w:pPr>
      <w:r>
        <w:t>Servers used by Node4 to provide the service including the DRaaS Portal;</w:t>
      </w:r>
    </w:p>
    <w:p w14:paraId="70C37813" w14:textId="77777777" w:rsidR="000D3424" w:rsidRPr="00600920" w:rsidRDefault="000D3424" w:rsidP="000D3424">
      <w:pPr>
        <w:pStyle w:val="ListParagraph"/>
        <w:numPr>
          <w:ilvl w:val="0"/>
          <w:numId w:val="32"/>
        </w:numPr>
        <w:spacing w:before="120" w:after="120" w:afterAutospacing="0"/>
        <w:ind w:left="360"/>
        <w:contextualSpacing w:val="0"/>
      </w:pPr>
      <w:r>
        <w:t>Network and storage devices used in the provision of the service by Node4.</w:t>
      </w:r>
    </w:p>
    <w:p w14:paraId="15E26C9D" w14:textId="77777777" w:rsidR="000D3424" w:rsidRPr="002A2301" w:rsidRDefault="000D3424" w:rsidP="000D3424">
      <w:r w:rsidRPr="00600920">
        <w:t>The Customer will be responsible for patching their virtual machines.</w:t>
      </w:r>
      <w:r>
        <w:t xml:space="preserve"> It should be noted that a patch applied to a source virtual machine will be replicated to the failover virtual machine.</w:t>
      </w:r>
      <w:r w:rsidDel="00D644D3">
        <w:t xml:space="preserve"> </w:t>
      </w:r>
      <w:r>
        <w:t>The Customer acknowledges that the service may no longer function if the virtual environment used by the Customer is upgraded to a version that is not supported as part of this service. For example, an upgrade to the version of VMware used by the Customer, or the virtual machine version, may prevent the service from working correctly. In such circumstances, the Customer shall continue to pay the Fees for the service and the service shall continue to be considered as “available”.</w:t>
      </w:r>
    </w:p>
    <w:p w14:paraId="2A6D7251" w14:textId="3C42A948" w:rsidR="000D3424" w:rsidRPr="00600920" w:rsidRDefault="008622B5" w:rsidP="000D3424">
      <w:pPr>
        <w:pStyle w:val="Heading3"/>
      </w:pPr>
      <w:r>
        <w:t>Hardware m</w:t>
      </w:r>
      <w:r w:rsidR="000D3424" w:rsidRPr="00600920">
        <w:t xml:space="preserve">aintenance </w:t>
      </w:r>
    </w:p>
    <w:p w14:paraId="43C75881" w14:textId="77777777" w:rsidR="000D3424" w:rsidRPr="00600920" w:rsidRDefault="000D3424" w:rsidP="000D3424">
      <w:r w:rsidRPr="00600920">
        <w:t>Any fault relating to hardware failure on the n4Cloud platform is covered by hardware maintenance which is provided as part of the service.</w:t>
      </w:r>
      <w:r>
        <w:t xml:space="preserve"> The Customer acknowledges that from time to time hardware maintenance may cause a loss of service, though Node4 will take reasonable measures to prevent this occurring as part of the design.</w:t>
      </w:r>
    </w:p>
    <w:p w14:paraId="519B26DA" w14:textId="77777777" w:rsidR="000D3424" w:rsidRPr="00600920" w:rsidRDefault="000D3424" w:rsidP="000D3424">
      <w:pPr>
        <w:pStyle w:val="Heading3"/>
      </w:pPr>
      <w:r w:rsidRPr="00600920">
        <w:t xml:space="preserve">Monitoring </w:t>
      </w:r>
    </w:p>
    <w:p w14:paraId="482E58CE" w14:textId="77777777" w:rsidR="000D3424" w:rsidRDefault="000D3424" w:rsidP="000D3424">
      <w:r w:rsidRPr="00600920">
        <w:t xml:space="preserve">Node4 monitor the service elements managed by Node4 as standard via the Node4 monitoring system to provide pro-active fault management by Node4 during the </w:t>
      </w:r>
      <w:r>
        <w:t>C</w:t>
      </w:r>
      <w:r w:rsidRPr="00600920">
        <w:t xml:space="preserve">ontracted </w:t>
      </w:r>
      <w:r>
        <w:t>S</w:t>
      </w:r>
      <w:r w:rsidRPr="00600920">
        <w:t xml:space="preserve">upport </w:t>
      </w:r>
      <w:r>
        <w:t>H</w:t>
      </w:r>
      <w:r w:rsidRPr="00600920">
        <w:t>ours. In the event th</w:t>
      </w:r>
      <w:r>
        <w:t>at a</w:t>
      </w:r>
      <w:r w:rsidRPr="00600920">
        <w:t xml:space="preserve"> </w:t>
      </w:r>
      <w:r>
        <w:t xml:space="preserve">Node4 </w:t>
      </w:r>
      <w:r w:rsidRPr="00600920">
        <w:t>device</w:t>
      </w:r>
      <w:r>
        <w:t xml:space="preserve"> used in the provision of the service</w:t>
      </w:r>
      <w:r w:rsidRPr="00600920">
        <w:t xml:space="preserve"> stops responding, or a monitored threshold is exceeded, Node4 Technical Support</w:t>
      </w:r>
      <w:r>
        <w:t xml:space="preserve"> Centre</w:t>
      </w:r>
      <w:r w:rsidRPr="00600920">
        <w:t xml:space="preserve"> will pro-actively investigate</w:t>
      </w:r>
      <w:r>
        <w:t>:</w:t>
      </w:r>
    </w:p>
    <w:p w14:paraId="3511A7FC" w14:textId="77777777" w:rsidR="000D3424" w:rsidRDefault="000D3424" w:rsidP="000D3424">
      <w:pPr>
        <w:pStyle w:val="ListParagraph"/>
        <w:numPr>
          <w:ilvl w:val="0"/>
          <w:numId w:val="32"/>
        </w:numPr>
        <w:spacing w:before="120" w:after="120" w:afterAutospacing="0"/>
        <w:ind w:left="360"/>
        <w:contextualSpacing w:val="0"/>
      </w:pPr>
      <w:r>
        <w:t>On a 24*7 basis, where the issue is deemed by the support engineer to be such that it shall prevent or is preventing a) the replication of data from the Customer’s virtual machines and/or b)  the service from being able to failover virtual machines if required;</w:t>
      </w:r>
    </w:p>
    <w:p w14:paraId="01663D87" w14:textId="77777777" w:rsidR="000D3424" w:rsidRDefault="000D3424" w:rsidP="000D3424">
      <w:pPr>
        <w:pStyle w:val="ListParagraph"/>
        <w:numPr>
          <w:ilvl w:val="0"/>
          <w:numId w:val="32"/>
        </w:numPr>
        <w:spacing w:before="120" w:after="120" w:afterAutospacing="0"/>
        <w:ind w:left="360"/>
        <w:contextualSpacing w:val="0"/>
      </w:pPr>
      <w:r>
        <w:t>D</w:t>
      </w:r>
      <w:r w:rsidRPr="00600920">
        <w:t xml:space="preserve">uring the </w:t>
      </w:r>
      <w:r>
        <w:t>C</w:t>
      </w:r>
      <w:r w:rsidRPr="00600920">
        <w:t xml:space="preserve">ontracted </w:t>
      </w:r>
      <w:r>
        <w:t>S</w:t>
      </w:r>
      <w:r w:rsidRPr="00600920">
        <w:t xml:space="preserve">upport </w:t>
      </w:r>
      <w:r>
        <w:t>H</w:t>
      </w:r>
      <w:r w:rsidRPr="00600920">
        <w:t>ours</w:t>
      </w:r>
      <w:r>
        <w:t>, for all other issues, including reduced performance.</w:t>
      </w:r>
    </w:p>
    <w:p w14:paraId="4A530263" w14:textId="77777777" w:rsidR="000D3424" w:rsidRDefault="000D3424" w:rsidP="000D3424">
      <w:r w:rsidRPr="00600920">
        <w:t xml:space="preserve">Node4 </w:t>
      </w:r>
      <w:r>
        <w:t xml:space="preserve">will undertake </w:t>
      </w:r>
      <w:r w:rsidRPr="00600920">
        <w:t>capacity manage</w:t>
      </w:r>
      <w:r>
        <w:t>ment</w:t>
      </w:r>
      <w:r w:rsidRPr="00600920">
        <w:t xml:space="preserve"> to ensure </w:t>
      </w:r>
      <w:r>
        <w:t>the</w:t>
      </w:r>
      <w:r w:rsidRPr="00600920">
        <w:t xml:space="preserve"> SLA targets</w:t>
      </w:r>
      <w:r>
        <w:t xml:space="preserve"> can be met</w:t>
      </w:r>
      <w:r w:rsidRPr="00600920">
        <w:t>.</w:t>
      </w:r>
    </w:p>
    <w:p w14:paraId="6D8F7F75" w14:textId="77777777" w:rsidR="000D3424" w:rsidRPr="00600920" w:rsidRDefault="000D3424" w:rsidP="000D3424">
      <w:r>
        <w:t>The Customer shall not have access to monitoring or capacity data.</w:t>
      </w:r>
    </w:p>
    <w:p w14:paraId="35199B99" w14:textId="77777777" w:rsidR="000D3424" w:rsidRPr="00600920" w:rsidRDefault="000D3424" w:rsidP="000D3424">
      <w:pPr>
        <w:pStyle w:val="Heading3"/>
      </w:pPr>
      <w:r w:rsidRPr="00600920">
        <w:t xml:space="preserve">Power </w:t>
      </w:r>
    </w:p>
    <w:p w14:paraId="32730C3B" w14:textId="77777777" w:rsidR="000D3424" w:rsidRPr="00600920" w:rsidRDefault="000D3424" w:rsidP="000D3424">
      <w:r w:rsidRPr="00600920">
        <w:t xml:space="preserve">Power to the </w:t>
      </w:r>
      <w:r>
        <w:t>n4Cloud platform</w:t>
      </w:r>
      <w:r w:rsidRPr="00600920">
        <w:t xml:space="preserve"> is provided using dual feeds</w:t>
      </w:r>
      <w:r>
        <w:t xml:space="preserve"> from a single provider</w:t>
      </w:r>
      <w:r w:rsidRPr="00600920">
        <w:t>.  UPS and Generator back-up is also provided with a minimum N+1 configuration.</w:t>
      </w:r>
      <w:r>
        <w:t xml:space="preserve"> The Customer is responsible for ensuring that power supply to the environment for which failover is provided is sufficient to provide uninterrupted service, and acknowledges that should that environment fail, replication will temporarily cease, meaning that the recovery point objective (RPO) may be breached. In such a case the Customer acknowledges that the service shall be deemed as operating normally.</w:t>
      </w:r>
    </w:p>
    <w:p w14:paraId="02A91080" w14:textId="6127D3FD" w:rsidR="000D3424" w:rsidRPr="00600920" w:rsidRDefault="008622B5" w:rsidP="000D3424">
      <w:pPr>
        <w:pStyle w:val="Heading3"/>
      </w:pPr>
      <w:r>
        <w:t>Internet s</w:t>
      </w:r>
      <w:r w:rsidR="000D3424" w:rsidRPr="00600920">
        <w:t xml:space="preserve">ecurity </w:t>
      </w:r>
    </w:p>
    <w:p w14:paraId="2AEAA28B" w14:textId="77777777" w:rsidR="000D3424" w:rsidRPr="00600920" w:rsidRDefault="000D3424" w:rsidP="000D3424">
      <w:r w:rsidRPr="00600920">
        <w:t xml:space="preserve">Node4 provide n4Cloud customers with public internet access. Internet Security and Virus Protection is the responsibility of the Customer. All internet usage is subject to the Acceptable Use Policy. </w:t>
      </w:r>
    </w:p>
    <w:p w14:paraId="066A7024" w14:textId="77777777" w:rsidR="000D3424" w:rsidRPr="00600920" w:rsidRDefault="000D3424" w:rsidP="000D3424">
      <w:r w:rsidRPr="00600920">
        <w:t xml:space="preserve">The </w:t>
      </w:r>
      <w:r>
        <w:t>DRaaS Service</w:t>
      </w:r>
      <w:r w:rsidRPr="00600920">
        <w:t xml:space="preserve"> is managed from an internet accessible </w:t>
      </w:r>
      <w:r>
        <w:t>p</w:t>
      </w:r>
      <w:r w:rsidRPr="00600920">
        <w:t xml:space="preserve">ortal. Node4 have secured this by placing it behind a firewall and using SSL encryption from the </w:t>
      </w:r>
      <w:r>
        <w:t>DRaaS P</w:t>
      </w:r>
      <w:r w:rsidRPr="00600920">
        <w:t>ortal to the Customer. In order to obtain access Customers are allocated usernames and passwords</w:t>
      </w:r>
      <w:r>
        <w:t xml:space="preserve"> on a per-person basis</w:t>
      </w:r>
      <w:r w:rsidRPr="00600920">
        <w:t>.</w:t>
      </w:r>
      <w:r>
        <w:t xml:space="preserve"> It is possible to restrict functions for a group of users by creating a ‘role’ and specifying the activities that any user with that role may perform. The Customer agrees that the usernames and passwords shall be safely stored at all times and that the individual is responsible for all actions carried out using their user name.</w:t>
      </w:r>
      <w:r w:rsidRPr="00600920">
        <w:t xml:space="preserve"> </w:t>
      </w:r>
    </w:p>
    <w:p w14:paraId="3C5CBDB1" w14:textId="6F16D99E" w:rsidR="000D3424" w:rsidRPr="00600920" w:rsidRDefault="008622B5" w:rsidP="000D3424">
      <w:pPr>
        <w:pStyle w:val="Heading3"/>
      </w:pPr>
      <w:r>
        <w:t>IP a</w:t>
      </w:r>
      <w:r w:rsidR="000D3424" w:rsidRPr="00600920">
        <w:t xml:space="preserve">ddresses </w:t>
      </w:r>
    </w:p>
    <w:p w14:paraId="4CE5F402" w14:textId="77777777" w:rsidR="000D3424" w:rsidRPr="00600920" w:rsidRDefault="000D3424" w:rsidP="000D3424">
      <w:r w:rsidRPr="00600920">
        <w:t xml:space="preserve">The number of public internet routable IP addresses assigned will identified on the Order Form. IP address usage is monitored and reported to RIPE database. The use of IP addresses must be justified. It is the Customer’s responsibility to use their assigned IP addresses. Use of non-assigned IP addresses will result in immediate disconnection from the Node4 Network. </w:t>
      </w:r>
    </w:p>
    <w:p w14:paraId="2CCEE039" w14:textId="77777777" w:rsidR="000D3424" w:rsidRPr="00600920" w:rsidRDefault="000D3424" w:rsidP="000D3424">
      <w:r w:rsidRPr="00600920">
        <w:t xml:space="preserve">Because the </w:t>
      </w:r>
      <w:r>
        <w:t>DRaaS Service</w:t>
      </w:r>
      <w:r w:rsidRPr="00600920">
        <w:t xml:space="preserve"> is a shared platform that will involve elements managed by the Customer and elements managed by Node4</w:t>
      </w:r>
      <w:r>
        <w:t>,</w:t>
      </w:r>
      <w:r w:rsidRPr="00600920">
        <w:t xml:space="preserve"> the Customer must agree the IP addressing scheme with Node4.</w:t>
      </w:r>
    </w:p>
    <w:p w14:paraId="177CA8FA" w14:textId="77777777" w:rsidR="000D3424" w:rsidRPr="00600920" w:rsidRDefault="000D3424" w:rsidP="000D3424">
      <w:pPr>
        <w:pStyle w:val="Heading3"/>
      </w:pPr>
      <w:r w:rsidRPr="00600920">
        <w:lastRenderedPageBreak/>
        <w:t xml:space="preserve">Service installation and provisioning </w:t>
      </w:r>
    </w:p>
    <w:p w14:paraId="246B3020" w14:textId="77777777" w:rsidR="000D3424" w:rsidRPr="00600920" w:rsidRDefault="000D3424" w:rsidP="000D3424">
      <w:r w:rsidRPr="00600920">
        <w:t xml:space="preserve">Standard set-up is provided.  For more complex configurations a technical scope document will be agreed and any relevant </w:t>
      </w:r>
      <w:r>
        <w:t>Fees</w:t>
      </w:r>
      <w:r w:rsidRPr="00600920">
        <w:t xml:space="preserve"> are identified on the </w:t>
      </w:r>
      <w:r>
        <w:t>O</w:t>
      </w:r>
      <w:r w:rsidRPr="00600920">
        <w:t xml:space="preserve">rder </w:t>
      </w:r>
      <w:r>
        <w:t>F</w:t>
      </w:r>
      <w:r w:rsidRPr="00600920">
        <w:t>orm.</w:t>
      </w:r>
    </w:p>
    <w:p w14:paraId="3F220308" w14:textId="7CC7DD04" w:rsidR="000D3424" w:rsidRPr="00600920" w:rsidRDefault="008622B5" w:rsidP="000D3424">
      <w:pPr>
        <w:pStyle w:val="Heading3"/>
      </w:pPr>
      <w:r>
        <w:t>Site s</w:t>
      </w:r>
      <w:r w:rsidR="000D3424" w:rsidRPr="00600920">
        <w:t xml:space="preserve">ecurity </w:t>
      </w:r>
    </w:p>
    <w:p w14:paraId="16DB27B8" w14:textId="77777777" w:rsidR="000D3424" w:rsidRDefault="000D3424" w:rsidP="000D3424">
      <w:r w:rsidRPr="00600920">
        <w:t>The following security measures are in place at Node4 data centres</w:t>
      </w:r>
      <w:r>
        <w:t>:</w:t>
      </w:r>
    </w:p>
    <w:p w14:paraId="708F8134" w14:textId="77777777" w:rsidR="000D3424" w:rsidRPr="00600920" w:rsidRDefault="000D3424" w:rsidP="000D3424">
      <w:pPr>
        <w:pStyle w:val="ListParagraph"/>
        <w:numPr>
          <w:ilvl w:val="0"/>
          <w:numId w:val="32"/>
        </w:numPr>
        <w:spacing w:before="120" w:after="120" w:afterAutospacing="0"/>
        <w:ind w:left="360"/>
        <w:contextualSpacing w:val="0"/>
      </w:pPr>
      <w:r w:rsidRPr="00600920">
        <w:t xml:space="preserve">Perimeter fencing with electric gates </w:t>
      </w:r>
    </w:p>
    <w:p w14:paraId="4C5C8D0B" w14:textId="77777777" w:rsidR="000D3424" w:rsidRPr="00600920" w:rsidRDefault="000D3424" w:rsidP="000D3424">
      <w:pPr>
        <w:pStyle w:val="ListParagraph"/>
        <w:numPr>
          <w:ilvl w:val="0"/>
          <w:numId w:val="32"/>
        </w:numPr>
        <w:spacing w:before="120" w:after="120" w:afterAutospacing="0"/>
        <w:ind w:left="360"/>
        <w:contextualSpacing w:val="0"/>
      </w:pPr>
      <w:r w:rsidRPr="00600920">
        <w:t xml:space="preserve">Access via photo swipe card system </w:t>
      </w:r>
    </w:p>
    <w:p w14:paraId="159BC13B" w14:textId="77777777" w:rsidR="000D3424" w:rsidRPr="00600920" w:rsidRDefault="000D3424" w:rsidP="000D3424">
      <w:pPr>
        <w:pStyle w:val="ListParagraph"/>
        <w:numPr>
          <w:ilvl w:val="0"/>
          <w:numId w:val="32"/>
        </w:numPr>
        <w:spacing w:before="120" w:after="120" w:afterAutospacing="0"/>
        <w:ind w:left="360"/>
        <w:contextualSpacing w:val="0"/>
      </w:pPr>
      <w:r w:rsidRPr="00600920">
        <w:t>CCTV with 24 hour recording both external and internal to the data centre</w:t>
      </w:r>
    </w:p>
    <w:p w14:paraId="1350ACEF" w14:textId="77777777" w:rsidR="000D3424" w:rsidRPr="00600920" w:rsidRDefault="000D3424" w:rsidP="000D3424">
      <w:pPr>
        <w:pStyle w:val="ListParagraph"/>
        <w:numPr>
          <w:ilvl w:val="0"/>
          <w:numId w:val="32"/>
        </w:numPr>
        <w:spacing w:before="120" w:after="120" w:afterAutospacing="0"/>
        <w:ind w:left="360"/>
        <w:contextualSpacing w:val="0"/>
      </w:pPr>
      <w:r w:rsidRPr="00600920">
        <w:t>Access Control Procedure</w:t>
      </w:r>
    </w:p>
    <w:p w14:paraId="1906FEA7" w14:textId="77777777" w:rsidR="000D3424" w:rsidRPr="00600920" w:rsidRDefault="000D3424" w:rsidP="000D3424">
      <w:pPr>
        <w:pStyle w:val="ListParagraph"/>
        <w:numPr>
          <w:ilvl w:val="0"/>
          <w:numId w:val="32"/>
        </w:numPr>
        <w:spacing w:before="120" w:after="120" w:afterAutospacing="0"/>
        <w:ind w:left="360"/>
        <w:contextualSpacing w:val="0"/>
      </w:pPr>
      <w:r w:rsidRPr="00600920">
        <w:t xml:space="preserve">Data Centres are manned 24 hours a day. </w:t>
      </w:r>
    </w:p>
    <w:p w14:paraId="3C641E7D" w14:textId="5060D91A" w:rsidR="000D3424" w:rsidRPr="004F2E31" w:rsidRDefault="008622B5" w:rsidP="000D3424">
      <w:pPr>
        <w:pStyle w:val="Heading3"/>
      </w:pPr>
      <w:r>
        <w:t>Data centre a</w:t>
      </w:r>
      <w:r w:rsidR="000D3424" w:rsidRPr="00600920">
        <w:t xml:space="preserve">ccess </w:t>
      </w:r>
    </w:p>
    <w:p w14:paraId="67F288BC" w14:textId="77777777" w:rsidR="000D3424" w:rsidRPr="00600920" w:rsidRDefault="000D3424" w:rsidP="000D3424">
      <w:r w:rsidRPr="00600920">
        <w:t xml:space="preserve">Access to the data centre is not </w:t>
      </w:r>
      <w:r>
        <w:t>permitted</w:t>
      </w:r>
      <w:r w:rsidRPr="00600920">
        <w:t xml:space="preserve"> for </w:t>
      </w:r>
      <w:r>
        <w:t>the DRaaS Service</w:t>
      </w:r>
      <w:r w:rsidRPr="00600920">
        <w:t xml:space="preserve"> as </w:t>
      </w:r>
      <w:r>
        <w:t>the service</w:t>
      </w:r>
      <w:r w:rsidRPr="00600920">
        <w:t xml:space="preserve"> </w:t>
      </w:r>
      <w:r>
        <w:t>is</w:t>
      </w:r>
      <w:r w:rsidRPr="00600920">
        <w:t xml:space="preserve"> managed by Node4</w:t>
      </w:r>
      <w:r>
        <w:t xml:space="preserve"> and operated by the Customer using the DRaaS Portal</w:t>
      </w:r>
      <w:r w:rsidRPr="00600920">
        <w:t xml:space="preserve">. </w:t>
      </w:r>
    </w:p>
    <w:p w14:paraId="5E7480A4" w14:textId="77777777" w:rsidR="000D3424" w:rsidRPr="002A2301" w:rsidRDefault="000D3424" w:rsidP="000D3424">
      <w:r w:rsidRPr="00600920">
        <w:t xml:space="preserve">Where the Customer has chosen to merge a Colocation Service with the </w:t>
      </w:r>
      <w:r>
        <w:t>DRaaS Service</w:t>
      </w:r>
      <w:r w:rsidRPr="00600920">
        <w:t xml:space="preserve"> access will be provided to the Colocation elements as discussed in the Schedule Document for Colocation Services.</w:t>
      </w:r>
    </w:p>
    <w:p w14:paraId="36780672" w14:textId="60A56B95" w:rsidR="000D3424" w:rsidRPr="00600920" w:rsidRDefault="008622B5" w:rsidP="000D3424">
      <w:pPr>
        <w:pStyle w:val="Heading3"/>
      </w:pPr>
      <w:r>
        <w:t>Customer s</w:t>
      </w:r>
      <w:r w:rsidR="000D3424" w:rsidRPr="00600920">
        <w:t xml:space="preserve">upport </w:t>
      </w:r>
    </w:p>
    <w:p w14:paraId="359C0859" w14:textId="77777777" w:rsidR="000D3424" w:rsidRPr="00600920" w:rsidRDefault="000D3424" w:rsidP="000D3424">
      <w:r>
        <w:t>Node4 provides Gold Support as standard for these services</w:t>
      </w:r>
      <w:r w:rsidRPr="00600920">
        <w:t xml:space="preserve">. </w:t>
      </w:r>
    </w:p>
    <w:p w14:paraId="3DF91C5E" w14:textId="77777777" w:rsidR="000D3424" w:rsidRDefault="000D3424" w:rsidP="000D3424">
      <w:r w:rsidRPr="00600920">
        <w:t xml:space="preserve">Node4 provides the service direct to the Customer. The Customer commits to fully manage all their customers and suppliers directly. Node4 will not interface directly with any third parties working with the Customer. If the Customer requires Node4 to provide their customers with a customer care or NOC service this is available on request and subject to Professional Service </w:t>
      </w:r>
      <w:r>
        <w:t>Fee</w:t>
      </w:r>
      <w:r w:rsidRPr="00600920">
        <w:t xml:space="preserve">s. Node4 shall not be liable in respect of any contract, agreement or relationship that Customer may have with any third party. If a dispute arises between Customer and a third party involving Node4’s </w:t>
      </w:r>
      <w:r>
        <w:t>DRaaS Service</w:t>
      </w:r>
      <w:r w:rsidRPr="00600920">
        <w:t xml:space="preserve">, Node4 shall provide the Customer with reasonable information and assistance (to the extent that such is not adverse to Node4’s interests to Customer (at Customer’s expense)) in the resolution of such dispute. </w:t>
      </w:r>
    </w:p>
    <w:p w14:paraId="18C21A6B" w14:textId="1C8E5062" w:rsidR="000D3424" w:rsidRDefault="008622B5" w:rsidP="000D3424">
      <w:pPr>
        <w:pStyle w:val="Heading3"/>
      </w:pPr>
      <w:r>
        <w:t>Maintenance w</w:t>
      </w:r>
      <w:r w:rsidR="000D3424">
        <w:t>indow</w:t>
      </w:r>
    </w:p>
    <w:p w14:paraId="697C2D4C" w14:textId="77777777" w:rsidR="000D3424" w:rsidRDefault="000D3424" w:rsidP="000D3424">
      <w:r w:rsidRPr="00600920">
        <w:t>Where Node4 plans to perform essential works and the changes are service affecting, Node4 will use reasonable endeavours to perform such works between the hours of 00:00 and 04:00 and will use reasonable endeavours to give the Customer at least five (5) days prior notice for network related work and at least ten (10) days prior notice for Infrastructure related work. In the event of an emergency or Service Affecting Fault such notice may be less than 24 hours. This is without prejudice to or limitation of the definition of Planned Outage.</w:t>
      </w:r>
    </w:p>
    <w:p w14:paraId="5BE29FD0" w14:textId="77777777" w:rsidR="000D3424" w:rsidRPr="003552F6" w:rsidRDefault="000D3424" w:rsidP="000D3424">
      <w:pPr>
        <w:pStyle w:val="Heading3"/>
      </w:pPr>
      <w:r w:rsidRPr="003552F6">
        <w:t xml:space="preserve">Changes </w:t>
      </w:r>
    </w:p>
    <w:p w14:paraId="2019DB49" w14:textId="77777777" w:rsidR="000D3424" w:rsidRPr="005C1C59" w:rsidRDefault="000D3424" w:rsidP="000D3424">
      <w:pPr>
        <w:rPr>
          <w:rFonts w:cs="Arial"/>
        </w:rPr>
      </w:pPr>
      <w:r w:rsidRPr="005D48AA">
        <w:rPr>
          <w:rFonts w:cs="Arial"/>
        </w:rPr>
        <w:t xml:space="preserve">Moves, Adds &amp; Changes </w:t>
      </w:r>
      <w:r w:rsidRPr="005C1C59">
        <w:rPr>
          <w:rFonts w:cs="Arial"/>
        </w:rPr>
        <w:t xml:space="preserve">(MAC) </w:t>
      </w:r>
      <w:r>
        <w:rPr>
          <w:rFonts w:cs="Arial"/>
        </w:rPr>
        <w:t>are not provided as part of the standard service. If “Full Management” is taken and included on the Order Form an unlimited number of S</w:t>
      </w:r>
      <w:r w:rsidRPr="00521EDC">
        <w:rPr>
          <w:rFonts w:cs="Arial"/>
        </w:rPr>
        <w:t>tandard MACs</w:t>
      </w:r>
      <w:r>
        <w:rPr>
          <w:rFonts w:cs="Arial"/>
        </w:rPr>
        <w:t xml:space="preserve"> are included</w:t>
      </w:r>
      <w:r w:rsidRPr="00521EDC">
        <w:rPr>
          <w:rFonts w:cs="Arial"/>
        </w:rPr>
        <w:t xml:space="preserve"> (fair use policy applies</w:t>
      </w:r>
      <w:r>
        <w:rPr>
          <w:rFonts w:cs="Arial"/>
        </w:rPr>
        <w:t>), Node4 will endeavour to complete Standard MACs within 3 Business Days.</w:t>
      </w:r>
    </w:p>
    <w:p w14:paraId="1AFE4881" w14:textId="77777777" w:rsidR="000D3424" w:rsidRPr="00EC2FB1" w:rsidRDefault="000D3424" w:rsidP="000D3424">
      <w:pPr>
        <w:rPr>
          <w:rFonts w:cs="Arial"/>
        </w:rPr>
      </w:pPr>
      <w:r w:rsidRPr="003552F6">
        <w:rPr>
          <w:rFonts w:cs="Arial"/>
        </w:rPr>
        <w:t>Change requests conducted outside of the support contract, or change request implemented outside normal business hours will be dealt with as chargeable projects and subject to the Support and Professional Services Fess</w:t>
      </w:r>
      <w:r>
        <w:rPr>
          <w:rFonts w:cs="Arial"/>
        </w:rPr>
        <w:t xml:space="preserve"> in 4.5</w:t>
      </w:r>
      <w:r w:rsidRPr="003552F6">
        <w:rPr>
          <w:rFonts w:cs="Arial"/>
        </w:rPr>
        <w:t>.</w:t>
      </w:r>
    </w:p>
    <w:p w14:paraId="28302D32" w14:textId="1C83D412" w:rsidR="000D3424" w:rsidRPr="004F2E31" w:rsidRDefault="000D3424" w:rsidP="000D3424">
      <w:pPr>
        <w:pStyle w:val="Heading2"/>
        <w:jc w:val="left"/>
      </w:pPr>
      <w:r w:rsidRPr="00600920">
        <w:t>F</w:t>
      </w:r>
      <w:r>
        <w:t xml:space="preserve">ault reporting and management </w:t>
      </w:r>
    </w:p>
    <w:p w14:paraId="5B4290B5" w14:textId="1D86F131" w:rsidR="000D3424" w:rsidRPr="00600920" w:rsidRDefault="008622B5" w:rsidP="000D3424">
      <w:pPr>
        <w:pStyle w:val="Heading3"/>
      </w:pPr>
      <w:r>
        <w:t>Fault h</w:t>
      </w:r>
      <w:r w:rsidR="000D3424" w:rsidRPr="00600920">
        <w:t xml:space="preserve">andling </w:t>
      </w:r>
    </w:p>
    <w:p w14:paraId="23B65CC7" w14:textId="77777777" w:rsidR="000D3424" w:rsidRPr="00600920" w:rsidRDefault="000D3424" w:rsidP="000D3424">
      <w:r w:rsidRPr="00600920">
        <w:t xml:space="preserve">Faults are handled as outlined in the </w:t>
      </w:r>
      <w:r>
        <w:t>Incident Management Schedule.</w:t>
      </w:r>
      <w:r w:rsidRPr="00600920">
        <w:t xml:space="preserve"> </w:t>
      </w:r>
    </w:p>
    <w:p w14:paraId="2611FCC9" w14:textId="5B05F949" w:rsidR="000D3424" w:rsidRPr="00600920" w:rsidRDefault="008622B5" w:rsidP="000D3424">
      <w:pPr>
        <w:pStyle w:val="Heading3"/>
      </w:pPr>
      <w:r>
        <w:t>Time to r</w:t>
      </w:r>
      <w:r w:rsidR="000D3424" w:rsidRPr="00600920">
        <w:t xml:space="preserve">epair </w:t>
      </w:r>
    </w:p>
    <w:p w14:paraId="1B1B713B" w14:textId="61D56E76" w:rsidR="000D3424" w:rsidRDefault="000D3424" w:rsidP="000D3424">
      <w:r w:rsidRPr="00600920">
        <w:t>Node4 aims to resolve requests in relation to the Node4 infrastructure causing a loss of service within four (4) hours, with the following response times:</w:t>
      </w:r>
    </w:p>
    <w:p w14:paraId="53FB812E" w14:textId="55093D9B" w:rsidR="003E3283" w:rsidRPr="000E69BA" w:rsidRDefault="003E3283" w:rsidP="000D3424">
      <w:r>
        <w:t xml:space="preserve">Business hours </w:t>
      </w:r>
    </w:p>
    <w:tbl>
      <w:tblPr>
        <w:tblStyle w:val="TableGrid"/>
        <w:tblW w:w="4631"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264"/>
        <w:gridCol w:w="708"/>
        <w:gridCol w:w="667"/>
        <w:gridCol w:w="664"/>
        <w:gridCol w:w="629"/>
        <w:gridCol w:w="699"/>
      </w:tblGrid>
      <w:tr w:rsidR="003E3283" w:rsidRPr="00600920" w14:paraId="251D727E" w14:textId="77777777" w:rsidTr="003E3283">
        <w:trPr>
          <w:cantSplit/>
          <w:trHeight w:val="575"/>
          <w:tblCellSpacing w:w="20" w:type="dxa"/>
        </w:trPr>
        <w:tc>
          <w:tcPr>
            <w:tcW w:w="1204" w:type="dxa"/>
            <w:shd w:val="clear" w:color="auto" w:fill="565A5C"/>
          </w:tcPr>
          <w:p w14:paraId="7F99EA40" w14:textId="77777777" w:rsidR="003E3283" w:rsidRPr="00EB34DA" w:rsidRDefault="003E3283" w:rsidP="00561FC2">
            <w:pPr>
              <w:jc w:val="left"/>
              <w:rPr>
                <w:rFonts w:cs="Arial"/>
                <w:color w:val="FFFFFF" w:themeColor="background1"/>
                <w:sz w:val="12"/>
                <w:szCs w:val="12"/>
              </w:rPr>
            </w:pPr>
            <w:r w:rsidRPr="00EB34DA">
              <w:rPr>
                <w:rFonts w:cs="Arial"/>
                <w:color w:val="FFFFFF" w:themeColor="background1"/>
                <w:sz w:val="12"/>
                <w:szCs w:val="12"/>
              </w:rPr>
              <w:t>Description</w:t>
            </w:r>
          </w:p>
        </w:tc>
        <w:tc>
          <w:tcPr>
            <w:tcW w:w="668" w:type="dxa"/>
            <w:shd w:val="clear" w:color="auto" w:fill="565A5C"/>
          </w:tcPr>
          <w:p w14:paraId="4EBC9EC6" w14:textId="77777777" w:rsidR="003E3283" w:rsidRPr="00EB34DA" w:rsidRDefault="003E3283" w:rsidP="00561FC2">
            <w:pPr>
              <w:jc w:val="left"/>
              <w:rPr>
                <w:rFonts w:cs="Arial"/>
                <w:color w:val="FFFFFF" w:themeColor="background1"/>
                <w:sz w:val="12"/>
                <w:szCs w:val="12"/>
              </w:rPr>
            </w:pPr>
            <w:r w:rsidRPr="00EB34DA">
              <w:rPr>
                <w:rFonts w:cs="Arial"/>
                <w:color w:val="FFFFFF" w:themeColor="background1"/>
                <w:sz w:val="12"/>
                <w:szCs w:val="12"/>
              </w:rPr>
              <w:t xml:space="preserve">Priority </w:t>
            </w:r>
            <w:r w:rsidRPr="00EB34DA">
              <w:rPr>
                <w:rFonts w:cs="Arial"/>
                <w:color w:val="FFFFFF" w:themeColor="background1"/>
                <w:sz w:val="12"/>
                <w:szCs w:val="12"/>
              </w:rPr>
              <w:br/>
              <w:t>1</w:t>
            </w:r>
          </w:p>
        </w:tc>
        <w:tc>
          <w:tcPr>
            <w:tcW w:w="627" w:type="dxa"/>
            <w:shd w:val="clear" w:color="auto" w:fill="565A5C"/>
          </w:tcPr>
          <w:p w14:paraId="3523DFC8" w14:textId="77777777" w:rsidR="003E3283" w:rsidRPr="00EB34DA" w:rsidRDefault="003E3283" w:rsidP="00561FC2">
            <w:pPr>
              <w:jc w:val="left"/>
              <w:rPr>
                <w:rFonts w:cs="Arial"/>
                <w:color w:val="FFFFFF" w:themeColor="background1"/>
                <w:sz w:val="12"/>
                <w:szCs w:val="12"/>
              </w:rPr>
            </w:pPr>
            <w:r w:rsidRPr="00EB34DA">
              <w:rPr>
                <w:rFonts w:cs="Arial"/>
                <w:color w:val="FFFFFF" w:themeColor="background1"/>
                <w:sz w:val="12"/>
                <w:szCs w:val="12"/>
              </w:rPr>
              <w:t>Priority 2</w:t>
            </w:r>
          </w:p>
        </w:tc>
        <w:tc>
          <w:tcPr>
            <w:tcW w:w="624" w:type="dxa"/>
            <w:shd w:val="clear" w:color="auto" w:fill="565A5C"/>
          </w:tcPr>
          <w:p w14:paraId="3C4CCAEE" w14:textId="77777777" w:rsidR="003E3283" w:rsidRPr="00EB34DA" w:rsidRDefault="003E3283" w:rsidP="00561FC2">
            <w:pPr>
              <w:jc w:val="left"/>
              <w:rPr>
                <w:rFonts w:cs="Arial"/>
                <w:color w:val="FFFFFF"/>
                <w:sz w:val="12"/>
                <w:szCs w:val="12"/>
              </w:rPr>
            </w:pPr>
            <w:r w:rsidRPr="00EB34DA">
              <w:rPr>
                <w:rFonts w:cs="Arial"/>
                <w:color w:val="FFFFFF" w:themeColor="background1"/>
                <w:sz w:val="12"/>
                <w:szCs w:val="12"/>
              </w:rPr>
              <w:t>Priority 3</w:t>
            </w:r>
          </w:p>
        </w:tc>
        <w:tc>
          <w:tcPr>
            <w:tcW w:w="589" w:type="dxa"/>
            <w:shd w:val="clear" w:color="auto" w:fill="565A5C"/>
          </w:tcPr>
          <w:p w14:paraId="6911ED0B" w14:textId="77777777" w:rsidR="003E3283" w:rsidRPr="00EB34DA" w:rsidRDefault="003E3283" w:rsidP="00561FC2">
            <w:pPr>
              <w:jc w:val="left"/>
              <w:rPr>
                <w:rFonts w:cs="Arial"/>
                <w:sz w:val="12"/>
                <w:szCs w:val="12"/>
              </w:rPr>
            </w:pPr>
            <w:r w:rsidRPr="00EB34DA">
              <w:rPr>
                <w:rFonts w:cs="Arial"/>
                <w:color w:val="FFFFFF" w:themeColor="background1"/>
                <w:sz w:val="12"/>
                <w:szCs w:val="12"/>
              </w:rPr>
              <w:t>Priority 4</w:t>
            </w:r>
          </w:p>
        </w:tc>
        <w:tc>
          <w:tcPr>
            <w:tcW w:w="639" w:type="dxa"/>
            <w:shd w:val="clear" w:color="auto" w:fill="565A5C"/>
          </w:tcPr>
          <w:p w14:paraId="6FBF9E01" w14:textId="77777777" w:rsidR="003E3283" w:rsidRPr="00EB34DA" w:rsidRDefault="003E3283" w:rsidP="00561FC2">
            <w:pPr>
              <w:jc w:val="left"/>
              <w:rPr>
                <w:rFonts w:cs="Arial"/>
                <w:color w:val="FFFFFF" w:themeColor="background1"/>
                <w:sz w:val="12"/>
                <w:szCs w:val="12"/>
              </w:rPr>
            </w:pPr>
            <w:r w:rsidRPr="00EB34DA">
              <w:rPr>
                <w:rFonts w:cs="Arial"/>
                <w:color w:val="FFFFFF" w:themeColor="background1"/>
                <w:sz w:val="12"/>
                <w:szCs w:val="12"/>
              </w:rPr>
              <w:t>Priority 5</w:t>
            </w:r>
          </w:p>
        </w:tc>
      </w:tr>
      <w:tr w:rsidR="003E3283" w:rsidRPr="00600920" w14:paraId="5F3754B5" w14:textId="77777777" w:rsidTr="003E3283">
        <w:trPr>
          <w:trHeight w:val="154"/>
          <w:tblCellSpacing w:w="20" w:type="dxa"/>
        </w:trPr>
        <w:tc>
          <w:tcPr>
            <w:tcW w:w="1204" w:type="dxa"/>
            <w:shd w:val="clear" w:color="auto" w:fill="D9D9D9"/>
          </w:tcPr>
          <w:p w14:paraId="1848E5A5" w14:textId="77777777" w:rsidR="003E3283" w:rsidRPr="00600920" w:rsidRDefault="003E3283" w:rsidP="00561FC2">
            <w:pPr>
              <w:jc w:val="left"/>
              <w:rPr>
                <w:rFonts w:cs="Arial"/>
                <w:sz w:val="14"/>
                <w:szCs w:val="14"/>
              </w:rPr>
            </w:pPr>
            <w:r w:rsidRPr="00600920">
              <w:rPr>
                <w:rFonts w:cs="Arial"/>
                <w:sz w:val="14"/>
                <w:szCs w:val="14"/>
              </w:rPr>
              <w:t>Faults &amp; Technical Queries Acknowledgement*</w:t>
            </w:r>
          </w:p>
        </w:tc>
        <w:tc>
          <w:tcPr>
            <w:tcW w:w="668" w:type="dxa"/>
            <w:shd w:val="clear" w:color="auto" w:fill="D9D9D9"/>
          </w:tcPr>
          <w:p w14:paraId="3F9EA5E9" w14:textId="77777777" w:rsidR="003E3283" w:rsidRPr="00600920" w:rsidRDefault="003E3283" w:rsidP="00561FC2">
            <w:pPr>
              <w:jc w:val="left"/>
              <w:rPr>
                <w:rFonts w:cs="Arial"/>
                <w:sz w:val="14"/>
                <w:szCs w:val="14"/>
              </w:rPr>
            </w:pPr>
            <w:r w:rsidRPr="00600920">
              <w:rPr>
                <w:rFonts w:cs="Arial"/>
                <w:sz w:val="14"/>
                <w:szCs w:val="14"/>
              </w:rPr>
              <w:t>30 Mins</w:t>
            </w:r>
          </w:p>
        </w:tc>
        <w:tc>
          <w:tcPr>
            <w:tcW w:w="627" w:type="dxa"/>
            <w:shd w:val="clear" w:color="auto" w:fill="D9D9D9"/>
          </w:tcPr>
          <w:p w14:paraId="444FB39C" w14:textId="77777777" w:rsidR="003E3283" w:rsidRPr="00600920" w:rsidRDefault="003E3283" w:rsidP="00561FC2">
            <w:pPr>
              <w:jc w:val="left"/>
              <w:rPr>
                <w:rFonts w:cs="Arial"/>
                <w:sz w:val="14"/>
                <w:szCs w:val="14"/>
              </w:rPr>
            </w:pPr>
            <w:r w:rsidRPr="00600920">
              <w:rPr>
                <w:rFonts w:cs="Arial"/>
                <w:sz w:val="14"/>
                <w:szCs w:val="14"/>
              </w:rPr>
              <w:t>30 Mins</w:t>
            </w:r>
          </w:p>
        </w:tc>
        <w:tc>
          <w:tcPr>
            <w:tcW w:w="624" w:type="dxa"/>
            <w:shd w:val="clear" w:color="auto" w:fill="D9D9D9"/>
          </w:tcPr>
          <w:p w14:paraId="40AA4AF4" w14:textId="77777777" w:rsidR="003E3283" w:rsidRPr="00600920" w:rsidRDefault="003E3283" w:rsidP="00561FC2">
            <w:pPr>
              <w:jc w:val="left"/>
              <w:rPr>
                <w:rFonts w:cs="Arial"/>
                <w:sz w:val="14"/>
                <w:szCs w:val="14"/>
              </w:rPr>
            </w:pPr>
            <w:r w:rsidRPr="00600920">
              <w:rPr>
                <w:rFonts w:cs="Arial"/>
                <w:sz w:val="14"/>
                <w:szCs w:val="14"/>
              </w:rPr>
              <w:t>1 Hr</w:t>
            </w:r>
          </w:p>
        </w:tc>
        <w:tc>
          <w:tcPr>
            <w:tcW w:w="589" w:type="dxa"/>
            <w:shd w:val="clear" w:color="auto" w:fill="D9D9D9"/>
          </w:tcPr>
          <w:p w14:paraId="600A3FF7" w14:textId="77777777" w:rsidR="003E3283" w:rsidRPr="00600920" w:rsidRDefault="003E3283" w:rsidP="00561FC2">
            <w:pPr>
              <w:jc w:val="left"/>
              <w:rPr>
                <w:rFonts w:cs="Arial"/>
                <w:sz w:val="14"/>
                <w:szCs w:val="14"/>
              </w:rPr>
            </w:pPr>
            <w:r w:rsidRPr="00600920">
              <w:rPr>
                <w:rFonts w:cs="Arial"/>
                <w:sz w:val="14"/>
                <w:szCs w:val="14"/>
              </w:rPr>
              <w:t>2 Hrs</w:t>
            </w:r>
          </w:p>
        </w:tc>
        <w:tc>
          <w:tcPr>
            <w:tcW w:w="639" w:type="dxa"/>
            <w:shd w:val="clear" w:color="auto" w:fill="D9D9D9"/>
          </w:tcPr>
          <w:p w14:paraId="0444D1F5" w14:textId="77777777" w:rsidR="003E3283" w:rsidRPr="00600920" w:rsidRDefault="003E3283" w:rsidP="00561FC2">
            <w:pPr>
              <w:jc w:val="left"/>
              <w:rPr>
                <w:rFonts w:cs="Arial"/>
                <w:sz w:val="14"/>
                <w:szCs w:val="14"/>
              </w:rPr>
            </w:pPr>
            <w:r w:rsidRPr="00600920">
              <w:rPr>
                <w:rFonts w:cs="Arial"/>
                <w:sz w:val="14"/>
                <w:szCs w:val="14"/>
              </w:rPr>
              <w:t>1 Day</w:t>
            </w:r>
          </w:p>
        </w:tc>
      </w:tr>
      <w:tr w:rsidR="003E3283" w:rsidRPr="00600920" w14:paraId="4AFE5A42" w14:textId="77777777" w:rsidTr="003E3283">
        <w:trPr>
          <w:trHeight w:val="154"/>
          <w:tblCellSpacing w:w="20" w:type="dxa"/>
        </w:trPr>
        <w:tc>
          <w:tcPr>
            <w:tcW w:w="1204" w:type="dxa"/>
          </w:tcPr>
          <w:p w14:paraId="2F75BD7F" w14:textId="77777777" w:rsidR="003E3283" w:rsidRPr="00600920" w:rsidRDefault="003E3283" w:rsidP="00561FC2">
            <w:pPr>
              <w:jc w:val="left"/>
              <w:rPr>
                <w:rFonts w:cs="Arial"/>
                <w:sz w:val="14"/>
                <w:szCs w:val="14"/>
              </w:rPr>
            </w:pPr>
            <w:r w:rsidRPr="00600920">
              <w:rPr>
                <w:rFonts w:cs="Arial"/>
                <w:sz w:val="14"/>
                <w:szCs w:val="14"/>
              </w:rPr>
              <w:t xml:space="preserve">Remedial Engineer </w:t>
            </w:r>
            <w:r w:rsidRPr="00600920">
              <w:rPr>
                <w:rFonts w:cs="Arial"/>
                <w:sz w:val="14"/>
                <w:szCs w:val="14"/>
              </w:rPr>
              <w:lastRenderedPageBreak/>
              <w:t>Actions Commence</w:t>
            </w:r>
          </w:p>
        </w:tc>
        <w:tc>
          <w:tcPr>
            <w:tcW w:w="668" w:type="dxa"/>
          </w:tcPr>
          <w:p w14:paraId="52F37180" w14:textId="77777777" w:rsidR="003E3283" w:rsidRPr="00600920" w:rsidRDefault="003E3283" w:rsidP="00561FC2">
            <w:pPr>
              <w:jc w:val="left"/>
              <w:rPr>
                <w:rFonts w:cs="Arial"/>
                <w:sz w:val="14"/>
                <w:szCs w:val="14"/>
              </w:rPr>
            </w:pPr>
            <w:r w:rsidRPr="00600920">
              <w:rPr>
                <w:rFonts w:cs="Arial"/>
                <w:sz w:val="14"/>
                <w:szCs w:val="14"/>
              </w:rPr>
              <w:lastRenderedPageBreak/>
              <w:t>1 Hr</w:t>
            </w:r>
          </w:p>
        </w:tc>
        <w:tc>
          <w:tcPr>
            <w:tcW w:w="627" w:type="dxa"/>
          </w:tcPr>
          <w:p w14:paraId="60561676" w14:textId="77777777" w:rsidR="003E3283" w:rsidRPr="00600920" w:rsidRDefault="003E3283" w:rsidP="00561FC2">
            <w:pPr>
              <w:jc w:val="left"/>
              <w:rPr>
                <w:rFonts w:cs="Arial"/>
                <w:sz w:val="14"/>
                <w:szCs w:val="14"/>
              </w:rPr>
            </w:pPr>
            <w:r>
              <w:rPr>
                <w:rFonts w:cs="Arial"/>
                <w:sz w:val="14"/>
                <w:szCs w:val="14"/>
              </w:rPr>
              <w:t xml:space="preserve">2 </w:t>
            </w:r>
            <w:r w:rsidRPr="00600920">
              <w:rPr>
                <w:rFonts w:cs="Arial"/>
                <w:sz w:val="14"/>
                <w:szCs w:val="14"/>
              </w:rPr>
              <w:t>Hrs</w:t>
            </w:r>
          </w:p>
        </w:tc>
        <w:tc>
          <w:tcPr>
            <w:tcW w:w="624" w:type="dxa"/>
          </w:tcPr>
          <w:p w14:paraId="61A89A56" w14:textId="77777777" w:rsidR="003E3283" w:rsidRPr="00600920" w:rsidRDefault="003E3283" w:rsidP="00561FC2">
            <w:pPr>
              <w:jc w:val="left"/>
              <w:rPr>
                <w:rFonts w:cs="Arial"/>
                <w:sz w:val="14"/>
                <w:szCs w:val="14"/>
              </w:rPr>
            </w:pPr>
            <w:r w:rsidRPr="00600920">
              <w:rPr>
                <w:rFonts w:cs="Arial"/>
                <w:sz w:val="14"/>
                <w:szCs w:val="14"/>
              </w:rPr>
              <w:t>4 Hrs</w:t>
            </w:r>
          </w:p>
        </w:tc>
        <w:tc>
          <w:tcPr>
            <w:tcW w:w="589" w:type="dxa"/>
          </w:tcPr>
          <w:p w14:paraId="1C35BD8B" w14:textId="77777777" w:rsidR="003E3283" w:rsidRPr="00600920" w:rsidRDefault="003E3283" w:rsidP="00561FC2">
            <w:pPr>
              <w:jc w:val="left"/>
              <w:rPr>
                <w:rFonts w:cs="Arial"/>
                <w:sz w:val="14"/>
                <w:szCs w:val="14"/>
              </w:rPr>
            </w:pPr>
            <w:r w:rsidRPr="00600920">
              <w:rPr>
                <w:rFonts w:cs="Arial"/>
                <w:sz w:val="14"/>
                <w:szCs w:val="14"/>
              </w:rPr>
              <w:t>12 Hrs</w:t>
            </w:r>
          </w:p>
        </w:tc>
        <w:tc>
          <w:tcPr>
            <w:tcW w:w="639" w:type="dxa"/>
          </w:tcPr>
          <w:p w14:paraId="54B55157" w14:textId="77777777" w:rsidR="003E3283" w:rsidRPr="00600920" w:rsidRDefault="003E3283" w:rsidP="00561FC2">
            <w:pPr>
              <w:jc w:val="left"/>
              <w:rPr>
                <w:rFonts w:cs="Arial"/>
                <w:sz w:val="14"/>
                <w:szCs w:val="14"/>
              </w:rPr>
            </w:pPr>
            <w:r w:rsidRPr="00600920">
              <w:rPr>
                <w:rFonts w:cs="Arial"/>
                <w:sz w:val="14"/>
                <w:szCs w:val="14"/>
              </w:rPr>
              <w:t>N/A</w:t>
            </w:r>
          </w:p>
        </w:tc>
      </w:tr>
      <w:tr w:rsidR="003E3283" w:rsidRPr="00600920" w14:paraId="690723A2" w14:textId="77777777" w:rsidTr="003E3283">
        <w:trPr>
          <w:trHeight w:val="154"/>
          <w:tblCellSpacing w:w="20" w:type="dxa"/>
        </w:trPr>
        <w:tc>
          <w:tcPr>
            <w:tcW w:w="1204" w:type="dxa"/>
            <w:shd w:val="clear" w:color="auto" w:fill="D9D9D9"/>
          </w:tcPr>
          <w:p w14:paraId="25FC100F" w14:textId="77777777" w:rsidR="003E3283" w:rsidRPr="00600920" w:rsidRDefault="003E3283" w:rsidP="00561FC2">
            <w:pPr>
              <w:jc w:val="left"/>
              <w:rPr>
                <w:rFonts w:cs="Arial"/>
                <w:sz w:val="14"/>
                <w:szCs w:val="14"/>
              </w:rPr>
            </w:pPr>
            <w:r w:rsidRPr="00600920">
              <w:rPr>
                <w:rFonts w:cs="Arial"/>
                <w:sz w:val="14"/>
                <w:szCs w:val="14"/>
              </w:rPr>
              <w:t>Time to Resolve Fault**</w:t>
            </w:r>
          </w:p>
        </w:tc>
        <w:tc>
          <w:tcPr>
            <w:tcW w:w="668" w:type="dxa"/>
            <w:shd w:val="clear" w:color="auto" w:fill="D9D9D9"/>
          </w:tcPr>
          <w:p w14:paraId="5200E863" w14:textId="77777777" w:rsidR="003E3283" w:rsidRPr="00600920" w:rsidRDefault="003E3283" w:rsidP="00561FC2">
            <w:pPr>
              <w:jc w:val="left"/>
              <w:rPr>
                <w:rFonts w:cs="Arial"/>
                <w:sz w:val="14"/>
                <w:szCs w:val="14"/>
              </w:rPr>
            </w:pPr>
            <w:r w:rsidRPr="00600920">
              <w:rPr>
                <w:rFonts w:cs="Arial"/>
                <w:sz w:val="14"/>
                <w:szCs w:val="14"/>
              </w:rPr>
              <w:t>4 Hrs</w:t>
            </w:r>
          </w:p>
        </w:tc>
        <w:tc>
          <w:tcPr>
            <w:tcW w:w="627" w:type="dxa"/>
            <w:shd w:val="clear" w:color="auto" w:fill="D9D9D9"/>
          </w:tcPr>
          <w:p w14:paraId="07E00F1C" w14:textId="77777777" w:rsidR="003E3283" w:rsidRPr="00600920" w:rsidRDefault="003E3283" w:rsidP="00561FC2">
            <w:pPr>
              <w:jc w:val="left"/>
              <w:rPr>
                <w:rFonts w:cs="Arial"/>
                <w:sz w:val="14"/>
                <w:szCs w:val="14"/>
              </w:rPr>
            </w:pPr>
            <w:r w:rsidRPr="00600920">
              <w:rPr>
                <w:rFonts w:cs="Arial"/>
                <w:sz w:val="14"/>
                <w:szCs w:val="14"/>
              </w:rPr>
              <w:t>4</w:t>
            </w:r>
            <w:r>
              <w:rPr>
                <w:rFonts w:cs="Arial"/>
                <w:sz w:val="14"/>
                <w:szCs w:val="14"/>
              </w:rPr>
              <w:br/>
            </w:r>
            <w:r w:rsidRPr="00600920">
              <w:rPr>
                <w:rFonts w:cs="Arial"/>
                <w:sz w:val="14"/>
                <w:szCs w:val="14"/>
              </w:rPr>
              <w:t>Hrs</w:t>
            </w:r>
          </w:p>
        </w:tc>
        <w:tc>
          <w:tcPr>
            <w:tcW w:w="624" w:type="dxa"/>
            <w:shd w:val="clear" w:color="auto" w:fill="D9D9D9"/>
          </w:tcPr>
          <w:p w14:paraId="39B0634A" w14:textId="77777777" w:rsidR="003E3283" w:rsidRPr="00600920" w:rsidRDefault="003E3283" w:rsidP="00561FC2">
            <w:pPr>
              <w:jc w:val="left"/>
              <w:rPr>
                <w:rFonts w:cs="Arial"/>
                <w:sz w:val="14"/>
                <w:szCs w:val="14"/>
              </w:rPr>
            </w:pPr>
            <w:r w:rsidRPr="00600920">
              <w:rPr>
                <w:rFonts w:cs="Arial"/>
                <w:sz w:val="14"/>
                <w:szCs w:val="14"/>
              </w:rPr>
              <w:t>24 Hrs</w:t>
            </w:r>
          </w:p>
        </w:tc>
        <w:tc>
          <w:tcPr>
            <w:tcW w:w="589" w:type="dxa"/>
            <w:shd w:val="clear" w:color="auto" w:fill="D9D9D9"/>
          </w:tcPr>
          <w:p w14:paraId="3EDDD79D" w14:textId="77777777" w:rsidR="003E3283" w:rsidRPr="00600920" w:rsidRDefault="003E3283" w:rsidP="00561FC2">
            <w:pPr>
              <w:jc w:val="left"/>
              <w:rPr>
                <w:rFonts w:cs="Arial"/>
                <w:sz w:val="14"/>
                <w:szCs w:val="14"/>
              </w:rPr>
            </w:pPr>
            <w:r w:rsidRPr="00600920">
              <w:rPr>
                <w:rFonts w:cs="Arial"/>
                <w:sz w:val="14"/>
                <w:szCs w:val="14"/>
              </w:rPr>
              <w:t>72 Hrs</w:t>
            </w:r>
          </w:p>
        </w:tc>
        <w:tc>
          <w:tcPr>
            <w:tcW w:w="639" w:type="dxa"/>
            <w:shd w:val="clear" w:color="auto" w:fill="D9D9D9"/>
          </w:tcPr>
          <w:p w14:paraId="5FA571AF" w14:textId="77777777" w:rsidR="003E3283" w:rsidRPr="00600920" w:rsidRDefault="003E3283" w:rsidP="00561FC2">
            <w:pPr>
              <w:jc w:val="left"/>
              <w:rPr>
                <w:rFonts w:cs="Arial"/>
                <w:sz w:val="14"/>
                <w:szCs w:val="14"/>
              </w:rPr>
            </w:pPr>
            <w:r w:rsidRPr="00600920">
              <w:rPr>
                <w:rFonts w:cs="Arial"/>
                <w:sz w:val="14"/>
                <w:szCs w:val="14"/>
              </w:rPr>
              <w:t>5 Days***</w:t>
            </w:r>
          </w:p>
        </w:tc>
      </w:tr>
    </w:tbl>
    <w:p w14:paraId="51EEEE9E" w14:textId="77777777" w:rsidR="000D3424" w:rsidRPr="00600920" w:rsidRDefault="000D3424" w:rsidP="000D3424">
      <w:pPr>
        <w:pStyle w:val="Default"/>
        <w:rPr>
          <w:rFonts w:ascii="Arial" w:hAnsi="Arial" w:cs="Arial"/>
          <w:color w:val="585858"/>
          <w:sz w:val="20"/>
          <w:szCs w:val="20"/>
        </w:rPr>
      </w:pPr>
    </w:p>
    <w:p w14:paraId="56450B66" w14:textId="303E977F" w:rsidR="000D3424" w:rsidRDefault="003E3283" w:rsidP="000D3424">
      <w:pPr>
        <w:pStyle w:val="Default"/>
        <w:rPr>
          <w:rFonts w:ascii="Arial" w:hAnsi="Arial" w:cs="Arial"/>
          <w:color w:val="585858"/>
          <w:sz w:val="20"/>
          <w:szCs w:val="20"/>
        </w:rPr>
      </w:pPr>
      <w:r>
        <w:rPr>
          <w:rFonts w:cs="Arial"/>
          <w:sz w:val="16"/>
          <w:szCs w:val="16"/>
        </w:rPr>
        <w:t>Non-business h</w:t>
      </w:r>
      <w:r w:rsidRPr="00600920">
        <w:rPr>
          <w:rFonts w:cs="Arial"/>
          <w:sz w:val="16"/>
          <w:szCs w:val="16"/>
        </w:rPr>
        <w:t>ours</w:t>
      </w:r>
    </w:p>
    <w:p w14:paraId="31D32664" w14:textId="77777777" w:rsidR="000D3424" w:rsidRPr="00600920" w:rsidRDefault="000D3424" w:rsidP="000D3424">
      <w:pPr>
        <w:pStyle w:val="Default"/>
        <w:rPr>
          <w:rFonts w:ascii="Arial" w:hAnsi="Arial" w:cs="Arial"/>
          <w:color w:val="585858"/>
          <w:sz w:val="20"/>
          <w:szCs w:val="20"/>
        </w:rPr>
      </w:pPr>
    </w:p>
    <w:tbl>
      <w:tblPr>
        <w:tblStyle w:val="TableGrid"/>
        <w:tblW w:w="4646"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263"/>
        <w:gridCol w:w="676"/>
        <w:gridCol w:w="677"/>
        <w:gridCol w:w="676"/>
        <w:gridCol w:w="677"/>
        <w:gridCol w:w="677"/>
      </w:tblGrid>
      <w:tr w:rsidR="003E3283" w:rsidRPr="00600920" w14:paraId="7E5BFD17" w14:textId="77777777" w:rsidTr="003E3283">
        <w:trPr>
          <w:cantSplit/>
          <w:trHeight w:val="591"/>
          <w:tblCellSpacing w:w="20" w:type="dxa"/>
        </w:trPr>
        <w:tc>
          <w:tcPr>
            <w:tcW w:w="1203" w:type="dxa"/>
            <w:shd w:val="clear" w:color="auto" w:fill="565A5C"/>
            <w:vAlign w:val="center"/>
          </w:tcPr>
          <w:p w14:paraId="6FFC0C1D" w14:textId="77777777" w:rsidR="003E3283" w:rsidRPr="00EB34DA" w:rsidRDefault="003E3283" w:rsidP="00561FC2">
            <w:pPr>
              <w:rPr>
                <w:rFonts w:cs="Arial"/>
                <w:color w:val="FFFFFF" w:themeColor="background1"/>
                <w:sz w:val="12"/>
                <w:szCs w:val="12"/>
              </w:rPr>
            </w:pPr>
            <w:r w:rsidRPr="00EB34DA">
              <w:rPr>
                <w:rFonts w:cs="Arial"/>
                <w:color w:val="FFFFFF" w:themeColor="background1"/>
                <w:sz w:val="12"/>
                <w:szCs w:val="12"/>
              </w:rPr>
              <w:t>Description</w:t>
            </w:r>
          </w:p>
        </w:tc>
        <w:tc>
          <w:tcPr>
            <w:tcW w:w="636" w:type="dxa"/>
            <w:shd w:val="clear" w:color="auto" w:fill="565A5C"/>
            <w:vAlign w:val="center"/>
          </w:tcPr>
          <w:p w14:paraId="3369993D" w14:textId="77777777" w:rsidR="003E3283" w:rsidRPr="00EB34DA" w:rsidRDefault="003E3283" w:rsidP="00561FC2">
            <w:pPr>
              <w:jc w:val="center"/>
              <w:rPr>
                <w:rFonts w:cs="Arial"/>
                <w:color w:val="FFFFFF" w:themeColor="background1"/>
                <w:sz w:val="12"/>
                <w:szCs w:val="12"/>
              </w:rPr>
            </w:pPr>
            <w:r w:rsidRPr="00EB34DA">
              <w:rPr>
                <w:rFonts w:cs="Arial"/>
                <w:color w:val="FFFFFF" w:themeColor="background1"/>
                <w:sz w:val="12"/>
                <w:szCs w:val="12"/>
              </w:rPr>
              <w:t>Priority 1</w:t>
            </w:r>
          </w:p>
        </w:tc>
        <w:tc>
          <w:tcPr>
            <w:tcW w:w="637" w:type="dxa"/>
            <w:shd w:val="clear" w:color="auto" w:fill="565A5C"/>
            <w:vAlign w:val="center"/>
          </w:tcPr>
          <w:p w14:paraId="752897CB" w14:textId="77777777" w:rsidR="003E3283" w:rsidRPr="00EB34DA" w:rsidRDefault="003E3283" w:rsidP="00561FC2">
            <w:pPr>
              <w:jc w:val="center"/>
              <w:rPr>
                <w:rFonts w:cs="Arial"/>
                <w:color w:val="FFFFFF" w:themeColor="background1"/>
                <w:sz w:val="12"/>
                <w:szCs w:val="12"/>
              </w:rPr>
            </w:pPr>
            <w:r w:rsidRPr="00EB34DA">
              <w:rPr>
                <w:rFonts w:cs="Arial"/>
                <w:color w:val="FFFFFF" w:themeColor="background1"/>
                <w:sz w:val="12"/>
                <w:szCs w:val="12"/>
              </w:rPr>
              <w:t>Priority 2</w:t>
            </w:r>
          </w:p>
        </w:tc>
        <w:tc>
          <w:tcPr>
            <w:tcW w:w="636" w:type="dxa"/>
            <w:shd w:val="clear" w:color="auto" w:fill="565A5C"/>
            <w:vAlign w:val="center"/>
          </w:tcPr>
          <w:p w14:paraId="31543065" w14:textId="77777777" w:rsidR="003E3283" w:rsidRPr="00EB34DA" w:rsidRDefault="003E3283" w:rsidP="00561FC2">
            <w:pPr>
              <w:jc w:val="center"/>
              <w:rPr>
                <w:rFonts w:cs="Arial"/>
                <w:color w:val="FFFFFF"/>
                <w:sz w:val="12"/>
                <w:szCs w:val="12"/>
              </w:rPr>
            </w:pPr>
            <w:r w:rsidRPr="00EB34DA">
              <w:rPr>
                <w:rFonts w:cs="Arial"/>
                <w:color w:val="FFFFFF" w:themeColor="background1"/>
                <w:sz w:val="12"/>
                <w:szCs w:val="12"/>
              </w:rPr>
              <w:t>Priority 3</w:t>
            </w:r>
          </w:p>
        </w:tc>
        <w:tc>
          <w:tcPr>
            <w:tcW w:w="637" w:type="dxa"/>
            <w:shd w:val="clear" w:color="auto" w:fill="565A5C"/>
            <w:vAlign w:val="center"/>
          </w:tcPr>
          <w:p w14:paraId="05D17108" w14:textId="77777777" w:rsidR="003E3283" w:rsidRPr="00EB34DA" w:rsidRDefault="003E3283" w:rsidP="00561FC2">
            <w:pPr>
              <w:jc w:val="center"/>
              <w:rPr>
                <w:rFonts w:cs="Arial"/>
                <w:sz w:val="12"/>
                <w:szCs w:val="12"/>
              </w:rPr>
            </w:pPr>
            <w:r w:rsidRPr="00EB34DA">
              <w:rPr>
                <w:rFonts w:cs="Arial"/>
                <w:color w:val="FFFFFF" w:themeColor="background1"/>
                <w:sz w:val="12"/>
                <w:szCs w:val="12"/>
              </w:rPr>
              <w:t>Priority 4</w:t>
            </w:r>
          </w:p>
        </w:tc>
        <w:tc>
          <w:tcPr>
            <w:tcW w:w="617" w:type="dxa"/>
            <w:shd w:val="clear" w:color="auto" w:fill="565A5C"/>
            <w:vAlign w:val="center"/>
          </w:tcPr>
          <w:p w14:paraId="4EE9E751" w14:textId="77777777" w:rsidR="003E3283" w:rsidRPr="00EB34DA" w:rsidRDefault="003E3283" w:rsidP="00561FC2">
            <w:pPr>
              <w:jc w:val="center"/>
              <w:rPr>
                <w:rFonts w:cs="Arial"/>
                <w:sz w:val="12"/>
                <w:szCs w:val="12"/>
              </w:rPr>
            </w:pPr>
            <w:r w:rsidRPr="00EB34DA">
              <w:rPr>
                <w:rFonts w:cs="Arial"/>
                <w:color w:val="FFFFFF" w:themeColor="background1"/>
                <w:sz w:val="12"/>
                <w:szCs w:val="12"/>
              </w:rPr>
              <w:t>Priority 5</w:t>
            </w:r>
          </w:p>
        </w:tc>
      </w:tr>
      <w:tr w:rsidR="003E3283" w:rsidRPr="00600920" w14:paraId="640FFF22" w14:textId="77777777" w:rsidTr="003E3283">
        <w:trPr>
          <w:trHeight w:val="158"/>
          <w:tblCellSpacing w:w="20" w:type="dxa"/>
        </w:trPr>
        <w:tc>
          <w:tcPr>
            <w:tcW w:w="1203" w:type="dxa"/>
            <w:shd w:val="clear" w:color="auto" w:fill="D9D9D9"/>
          </w:tcPr>
          <w:p w14:paraId="45AB1BDE" w14:textId="77777777" w:rsidR="003E3283" w:rsidRPr="00600920" w:rsidRDefault="003E3283" w:rsidP="00561FC2">
            <w:pPr>
              <w:jc w:val="left"/>
              <w:rPr>
                <w:rFonts w:cs="Arial"/>
                <w:sz w:val="14"/>
                <w:szCs w:val="14"/>
              </w:rPr>
            </w:pPr>
            <w:r w:rsidRPr="00600920">
              <w:rPr>
                <w:rFonts w:cs="Arial"/>
                <w:sz w:val="14"/>
                <w:szCs w:val="14"/>
              </w:rPr>
              <w:t>Faults &amp; Technical Queries Acknowledgement*</w:t>
            </w:r>
          </w:p>
        </w:tc>
        <w:tc>
          <w:tcPr>
            <w:tcW w:w="636" w:type="dxa"/>
            <w:shd w:val="clear" w:color="auto" w:fill="D9D9D9"/>
          </w:tcPr>
          <w:p w14:paraId="5058FD4C" w14:textId="77777777" w:rsidR="003E3283" w:rsidRPr="00600920" w:rsidRDefault="003E3283" w:rsidP="00561FC2">
            <w:pPr>
              <w:jc w:val="left"/>
              <w:rPr>
                <w:rFonts w:cs="Arial"/>
                <w:sz w:val="14"/>
                <w:szCs w:val="14"/>
              </w:rPr>
            </w:pPr>
            <w:r w:rsidRPr="00600920">
              <w:rPr>
                <w:rFonts w:cs="Arial"/>
                <w:sz w:val="14"/>
                <w:szCs w:val="14"/>
              </w:rPr>
              <w:t>60 Mins</w:t>
            </w:r>
          </w:p>
        </w:tc>
        <w:tc>
          <w:tcPr>
            <w:tcW w:w="637" w:type="dxa"/>
            <w:shd w:val="clear" w:color="auto" w:fill="D9D9D9"/>
          </w:tcPr>
          <w:p w14:paraId="00FA2ACC" w14:textId="77777777" w:rsidR="003E3283" w:rsidRPr="00600920" w:rsidRDefault="003E3283" w:rsidP="00561FC2">
            <w:pPr>
              <w:jc w:val="left"/>
              <w:rPr>
                <w:rFonts w:cs="Arial"/>
                <w:sz w:val="14"/>
                <w:szCs w:val="14"/>
              </w:rPr>
            </w:pPr>
            <w:r w:rsidRPr="00600920">
              <w:rPr>
                <w:rFonts w:cs="Arial"/>
                <w:sz w:val="14"/>
                <w:szCs w:val="14"/>
              </w:rPr>
              <w:t>60 Mins</w:t>
            </w:r>
          </w:p>
        </w:tc>
        <w:tc>
          <w:tcPr>
            <w:tcW w:w="636" w:type="dxa"/>
            <w:shd w:val="clear" w:color="auto" w:fill="D9D9D9"/>
          </w:tcPr>
          <w:p w14:paraId="184893F3" w14:textId="77777777" w:rsidR="003E3283" w:rsidRPr="00600920" w:rsidRDefault="003E3283" w:rsidP="00561FC2">
            <w:pPr>
              <w:jc w:val="left"/>
              <w:rPr>
                <w:rFonts w:cs="Arial"/>
                <w:sz w:val="14"/>
                <w:szCs w:val="14"/>
              </w:rPr>
            </w:pPr>
            <w:r w:rsidRPr="00600920">
              <w:rPr>
                <w:rFonts w:cs="Arial"/>
                <w:sz w:val="14"/>
                <w:szCs w:val="14"/>
              </w:rPr>
              <w:t>Auto-mated Email Response</w:t>
            </w:r>
          </w:p>
        </w:tc>
        <w:tc>
          <w:tcPr>
            <w:tcW w:w="637" w:type="dxa"/>
            <w:shd w:val="clear" w:color="auto" w:fill="D9D9D9"/>
          </w:tcPr>
          <w:p w14:paraId="3360A1D4" w14:textId="77777777" w:rsidR="003E3283" w:rsidRPr="00600920" w:rsidRDefault="003E3283" w:rsidP="00561FC2">
            <w:pPr>
              <w:jc w:val="left"/>
              <w:rPr>
                <w:rFonts w:cs="Arial"/>
                <w:sz w:val="14"/>
                <w:szCs w:val="14"/>
              </w:rPr>
            </w:pPr>
            <w:r w:rsidRPr="00600920">
              <w:rPr>
                <w:rFonts w:cs="Arial"/>
                <w:sz w:val="14"/>
                <w:szCs w:val="14"/>
              </w:rPr>
              <w:t>Auto-mated Email Response</w:t>
            </w:r>
          </w:p>
        </w:tc>
        <w:tc>
          <w:tcPr>
            <w:tcW w:w="617" w:type="dxa"/>
            <w:shd w:val="clear" w:color="auto" w:fill="D9D9D9"/>
          </w:tcPr>
          <w:p w14:paraId="1D2D0B1C" w14:textId="77777777" w:rsidR="003E3283" w:rsidRPr="00600920" w:rsidRDefault="003E3283" w:rsidP="00561FC2">
            <w:pPr>
              <w:jc w:val="left"/>
              <w:rPr>
                <w:rFonts w:cs="Arial"/>
                <w:sz w:val="14"/>
                <w:szCs w:val="14"/>
              </w:rPr>
            </w:pPr>
            <w:r w:rsidRPr="00600920">
              <w:rPr>
                <w:rFonts w:cs="Arial"/>
                <w:sz w:val="14"/>
                <w:szCs w:val="14"/>
              </w:rPr>
              <w:t>Automated Email Response</w:t>
            </w:r>
          </w:p>
        </w:tc>
      </w:tr>
      <w:tr w:rsidR="003E3283" w:rsidRPr="00600920" w14:paraId="436E5205" w14:textId="77777777" w:rsidTr="003E3283">
        <w:trPr>
          <w:trHeight w:val="158"/>
          <w:tblCellSpacing w:w="20" w:type="dxa"/>
        </w:trPr>
        <w:tc>
          <w:tcPr>
            <w:tcW w:w="1203" w:type="dxa"/>
          </w:tcPr>
          <w:p w14:paraId="3E32D986" w14:textId="77777777" w:rsidR="003E3283" w:rsidRPr="00600920" w:rsidRDefault="003E3283" w:rsidP="00561FC2">
            <w:pPr>
              <w:jc w:val="left"/>
              <w:rPr>
                <w:rFonts w:cs="Arial"/>
                <w:sz w:val="14"/>
                <w:szCs w:val="14"/>
              </w:rPr>
            </w:pPr>
            <w:r w:rsidRPr="00600920">
              <w:rPr>
                <w:rFonts w:cs="Arial"/>
                <w:sz w:val="14"/>
                <w:szCs w:val="14"/>
              </w:rPr>
              <w:t>Remedial Engineer Actions Commence</w:t>
            </w:r>
          </w:p>
        </w:tc>
        <w:tc>
          <w:tcPr>
            <w:tcW w:w="636" w:type="dxa"/>
          </w:tcPr>
          <w:p w14:paraId="3FCFB296" w14:textId="77777777" w:rsidR="003E3283" w:rsidRPr="00600920" w:rsidRDefault="003E3283" w:rsidP="00561FC2">
            <w:pPr>
              <w:jc w:val="left"/>
              <w:rPr>
                <w:rFonts w:cs="Arial"/>
                <w:sz w:val="14"/>
                <w:szCs w:val="14"/>
              </w:rPr>
            </w:pPr>
            <w:r w:rsidRPr="00600920">
              <w:rPr>
                <w:rFonts w:cs="Arial"/>
                <w:sz w:val="14"/>
                <w:szCs w:val="14"/>
              </w:rPr>
              <w:t>2 Hrs</w:t>
            </w:r>
          </w:p>
        </w:tc>
        <w:tc>
          <w:tcPr>
            <w:tcW w:w="637" w:type="dxa"/>
          </w:tcPr>
          <w:p w14:paraId="1E02F438" w14:textId="77777777" w:rsidR="003E3283" w:rsidRPr="00600920" w:rsidRDefault="003E3283" w:rsidP="00561FC2">
            <w:pPr>
              <w:jc w:val="left"/>
              <w:rPr>
                <w:rFonts w:cs="Arial"/>
                <w:sz w:val="14"/>
                <w:szCs w:val="14"/>
              </w:rPr>
            </w:pPr>
            <w:r w:rsidRPr="00600920">
              <w:rPr>
                <w:rFonts w:cs="Arial"/>
                <w:sz w:val="14"/>
                <w:szCs w:val="14"/>
              </w:rPr>
              <w:t>2 Hrs</w:t>
            </w:r>
          </w:p>
        </w:tc>
        <w:tc>
          <w:tcPr>
            <w:tcW w:w="636" w:type="dxa"/>
          </w:tcPr>
          <w:p w14:paraId="725FC602" w14:textId="77777777" w:rsidR="003E3283" w:rsidRPr="00600920" w:rsidRDefault="003E3283" w:rsidP="00561FC2">
            <w:pPr>
              <w:jc w:val="left"/>
              <w:rPr>
                <w:rFonts w:cs="Arial"/>
                <w:sz w:val="14"/>
                <w:szCs w:val="14"/>
              </w:rPr>
            </w:pPr>
            <w:r w:rsidRPr="00600920">
              <w:rPr>
                <w:rFonts w:cs="Arial"/>
                <w:sz w:val="14"/>
                <w:szCs w:val="14"/>
              </w:rPr>
              <w:t>N/A</w:t>
            </w:r>
          </w:p>
        </w:tc>
        <w:tc>
          <w:tcPr>
            <w:tcW w:w="637" w:type="dxa"/>
          </w:tcPr>
          <w:p w14:paraId="5F3C275F" w14:textId="77777777" w:rsidR="003E3283" w:rsidRPr="00600920" w:rsidRDefault="003E3283" w:rsidP="00561FC2">
            <w:pPr>
              <w:jc w:val="left"/>
              <w:rPr>
                <w:rFonts w:cs="Arial"/>
                <w:sz w:val="14"/>
                <w:szCs w:val="14"/>
              </w:rPr>
            </w:pPr>
            <w:r w:rsidRPr="00600920">
              <w:rPr>
                <w:rFonts w:cs="Arial"/>
                <w:sz w:val="14"/>
                <w:szCs w:val="14"/>
              </w:rPr>
              <w:t>N/A</w:t>
            </w:r>
          </w:p>
        </w:tc>
        <w:tc>
          <w:tcPr>
            <w:tcW w:w="617" w:type="dxa"/>
          </w:tcPr>
          <w:p w14:paraId="21BF500A" w14:textId="77777777" w:rsidR="003E3283" w:rsidRPr="00600920" w:rsidRDefault="003E3283" w:rsidP="00561FC2">
            <w:pPr>
              <w:jc w:val="left"/>
              <w:rPr>
                <w:rFonts w:cs="Arial"/>
                <w:sz w:val="14"/>
                <w:szCs w:val="14"/>
              </w:rPr>
            </w:pPr>
            <w:r w:rsidRPr="00600920">
              <w:rPr>
                <w:rFonts w:cs="Arial"/>
                <w:sz w:val="14"/>
                <w:szCs w:val="14"/>
              </w:rPr>
              <w:t>N/A</w:t>
            </w:r>
          </w:p>
        </w:tc>
      </w:tr>
      <w:tr w:rsidR="003E3283" w:rsidRPr="00600920" w14:paraId="0E8DDB36" w14:textId="77777777" w:rsidTr="003E3283">
        <w:trPr>
          <w:trHeight w:val="158"/>
          <w:tblCellSpacing w:w="20" w:type="dxa"/>
        </w:trPr>
        <w:tc>
          <w:tcPr>
            <w:tcW w:w="1203" w:type="dxa"/>
            <w:shd w:val="clear" w:color="auto" w:fill="D9D9D9"/>
          </w:tcPr>
          <w:p w14:paraId="05933A1B" w14:textId="77777777" w:rsidR="003E3283" w:rsidRPr="00600920" w:rsidRDefault="003E3283" w:rsidP="00561FC2">
            <w:pPr>
              <w:jc w:val="left"/>
              <w:rPr>
                <w:rFonts w:cs="Arial"/>
                <w:sz w:val="14"/>
                <w:szCs w:val="14"/>
              </w:rPr>
            </w:pPr>
            <w:r w:rsidRPr="00600920">
              <w:rPr>
                <w:rFonts w:cs="Arial"/>
                <w:sz w:val="14"/>
                <w:szCs w:val="14"/>
              </w:rPr>
              <w:t>Time to Resolve Fault**</w:t>
            </w:r>
          </w:p>
        </w:tc>
        <w:tc>
          <w:tcPr>
            <w:tcW w:w="636" w:type="dxa"/>
            <w:shd w:val="clear" w:color="auto" w:fill="D9D9D9"/>
          </w:tcPr>
          <w:p w14:paraId="7C28C37F" w14:textId="77777777" w:rsidR="003E3283" w:rsidRPr="00600920" w:rsidRDefault="003E3283" w:rsidP="00561FC2">
            <w:pPr>
              <w:jc w:val="left"/>
              <w:rPr>
                <w:rFonts w:cs="Arial"/>
                <w:sz w:val="14"/>
                <w:szCs w:val="14"/>
              </w:rPr>
            </w:pPr>
            <w:r w:rsidRPr="00600920">
              <w:rPr>
                <w:rFonts w:cs="Arial"/>
                <w:sz w:val="14"/>
                <w:szCs w:val="14"/>
              </w:rPr>
              <w:t>5 Hrs</w:t>
            </w:r>
          </w:p>
        </w:tc>
        <w:tc>
          <w:tcPr>
            <w:tcW w:w="637" w:type="dxa"/>
            <w:shd w:val="clear" w:color="auto" w:fill="D9D9D9"/>
          </w:tcPr>
          <w:p w14:paraId="42E0C6FD" w14:textId="77777777" w:rsidR="003E3283" w:rsidRPr="00600920" w:rsidRDefault="003E3283" w:rsidP="00561FC2">
            <w:pPr>
              <w:jc w:val="left"/>
              <w:rPr>
                <w:rFonts w:cs="Arial"/>
                <w:sz w:val="14"/>
                <w:szCs w:val="14"/>
              </w:rPr>
            </w:pPr>
            <w:r w:rsidRPr="00600920">
              <w:rPr>
                <w:rFonts w:cs="Arial"/>
                <w:sz w:val="14"/>
                <w:szCs w:val="14"/>
              </w:rPr>
              <w:t>5 Hrs</w:t>
            </w:r>
          </w:p>
        </w:tc>
        <w:tc>
          <w:tcPr>
            <w:tcW w:w="636" w:type="dxa"/>
            <w:shd w:val="clear" w:color="auto" w:fill="D9D9D9"/>
          </w:tcPr>
          <w:p w14:paraId="443EA875" w14:textId="77777777" w:rsidR="003E3283" w:rsidRPr="00600920" w:rsidRDefault="003E3283" w:rsidP="00561FC2">
            <w:pPr>
              <w:jc w:val="left"/>
              <w:rPr>
                <w:rFonts w:cs="Arial"/>
                <w:sz w:val="14"/>
                <w:szCs w:val="14"/>
              </w:rPr>
            </w:pPr>
            <w:r w:rsidRPr="00600920">
              <w:rPr>
                <w:rFonts w:cs="Arial"/>
                <w:sz w:val="14"/>
                <w:szCs w:val="14"/>
              </w:rPr>
              <w:t>N/A</w:t>
            </w:r>
          </w:p>
        </w:tc>
        <w:tc>
          <w:tcPr>
            <w:tcW w:w="637" w:type="dxa"/>
            <w:shd w:val="clear" w:color="auto" w:fill="D9D9D9"/>
          </w:tcPr>
          <w:p w14:paraId="32D17476" w14:textId="77777777" w:rsidR="003E3283" w:rsidRPr="00600920" w:rsidRDefault="003E3283" w:rsidP="00561FC2">
            <w:pPr>
              <w:jc w:val="left"/>
              <w:rPr>
                <w:rFonts w:cs="Arial"/>
                <w:sz w:val="14"/>
                <w:szCs w:val="14"/>
              </w:rPr>
            </w:pPr>
            <w:r w:rsidRPr="00600920">
              <w:rPr>
                <w:rFonts w:cs="Arial"/>
                <w:sz w:val="14"/>
                <w:szCs w:val="14"/>
              </w:rPr>
              <w:t>N/A</w:t>
            </w:r>
          </w:p>
        </w:tc>
        <w:tc>
          <w:tcPr>
            <w:tcW w:w="617" w:type="dxa"/>
            <w:shd w:val="clear" w:color="auto" w:fill="D9D9D9"/>
          </w:tcPr>
          <w:p w14:paraId="286D922F" w14:textId="77777777" w:rsidR="003E3283" w:rsidRPr="00600920" w:rsidRDefault="003E3283" w:rsidP="00561FC2">
            <w:pPr>
              <w:jc w:val="left"/>
              <w:rPr>
                <w:rFonts w:cs="Arial"/>
                <w:sz w:val="14"/>
                <w:szCs w:val="14"/>
              </w:rPr>
            </w:pPr>
            <w:r w:rsidRPr="00600920">
              <w:rPr>
                <w:rFonts w:cs="Arial"/>
                <w:sz w:val="14"/>
                <w:szCs w:val="14"/>
              </w:rPr>
              <w:t>N/A</w:t>
            </w:r>
          </w:p>
        </w:tc>
      </w:tr>
    </w:tbl>
    <w:p w14:paraId="731F5AB1" w14:textId="77777777" w:rsidR="000D3424" w:rsidRPr="00600920" w:rsidRDefault="000D3424" w:rsidP="000D3424">
      <w:pPr>
        <w:pStyle w:val="Default"/>
        <w:rPr>
          <w:rFonts w:ascii="Arial" w:hAnsi="Arial" w:cs="Arial"/>
          <w:color w:val="585858"/>
          <w:sz w:val="20"/>
          <w:szCs w:val="20"/>
        </w:rPr>
      </w:pPr>
    </w:p>
    <w:p w14:paraId="14E71B5C" w14:textId="77777777" w:rsidR="000D3424" w:rsidRDefault="000D3424" w:rsidP="000D3424">
      <w:r w:rsidRPr="00600920">
        <w:t xml:space="preserve">Hours of response is dependent on Service Level (Bronze, Silver, Silver Plus, Gold) </w:t>
      </w:r>
    </w:p>
    <w:p w14:paraId="011150FF" w14:textId="77777777" w:rsidR="000D3424" w:rsidRPr="00827CCF" w:rsidRDefault="000D3424" w:rsidP="000D3424">
      <w:pPr>
        <w:rPr>
          <w:color w:val="auto"/>
        </w:rPr>
      </w:pPr>
      <w:r w:rsidRPr="00F10592">
        <w:rPr>
          <w:color w:val="auto"/>
        </w:rPr>
        <w:t xml:space="preserve">All </w:t>
      </w:r>
      <w:r>
        <w:rPr>
          <w:rFonts w:cs="Arial"/>
          <w:color w:val="auto"/>
        </w:rPr>
        <w:t>p</w:t>
      </w:r>
      <w:r w:rsidRPr="00F10592">
        <w:rPr>
          <w:rFonts w:cs="Arial"/>
          <w:color w:val="auto"/>
        </w:rPr>
        <w:t>riority</w:t>
      </w:r>
      <w:r w:rsidRPr="00F10592">
        <w:rPr>
          <w:color w:val="auto"/>
        </w:rPr>
        <w:t xml:space="preserve"> 1 </w:t>
      </w:r>
      <w:r w:rsidRPr="00600920">
        <w:t xml:space="preserve">&amp; 2 faults should be raised via the tickets system then </w:t>
      </w:r>
      <w:r w:rsidRPr="00827CCF">
        <w:rPr>
          <w:color w:val="auto"/>
        </w:rPr>
        <w:t>followed by a phone call.</w:t>
      </w:r>
    </w:p>
    <w:p w14:paraId="105CFF70" w14:textId="77777777" w:rsidR="000D3424" w:rsidRPr="00827CCF" w:rsidRDefault="000D3424" w:rsidP="000D3424">
      <w:pPr>
        <w:rPr>
          <w:rStyle w:val="SubtleEmphasis"/>
          <w:color w:val="auto"/>
        </w:rPr>
      </w:pPr>
      <w:r w:rsidRPr="00827CCF">
        <w:rPr>
          <w:rStyle w:val="SubtleEmphasis"/>
          <w:color w:val="auto"/>
        </w:rPr>
        <w:t>* Acknowledgement refers to an automated service which generates a response and alerts engineers of a service failure; or where there is dialogue between the client and the engineer.</w:t>
      </w:r>
    </w:p>
    <w:p w14:paraId="5AC01306" w14:textId="77777777" w:rsidR="000D3424" w:rsidRPr="00827CCF" w:rsidRDefault="000D3424" w:rsidP="000D3424">
      <w:pPr>
        <w:rPr>
          <w:color w:val="auto"/>
        </w:rPr>
      </w:pPr>
      <w:r w:rsidRPr="00827CCF">
        <w:rPr>
          <w:rStyle w:val="SubtleEmphasis"/>
          <w:color w:val="auto"/>
        </w:rPr>
        <w:t xml:space="preserve"> ** We will use reasonable endeavours to adhere to the TTRF guidelines. Where fault resolution involves third parties, or hardware replacement, then this is subject to the support contracts in place with those parties.</w:t>
      </w:r>
    </w:p>
    <w:p w14:paraId="15A6C063" w14:textId="69D690DD" w:rsidR="000D3424" w:rsidRPr="00600920" w:rsidRDefault="000A3E04" w:rsidP="000D3424">
      <w:pPr>
        <w:pStyle w:val="Heading3"/>
      </w:pPr>
      <w:r>
        <w:t>Fault d</w:t>
      </w:r>
      <w:r w:rsidR="000D3424" w:rsidRPr="00600920">
        <w:t xml:space="preserve">uration </w:t>
      </w:r>
    </w:p>
    <w:p w14:paraId="392F40AD" w14:textId="77777777" w:rsidR="000D3424" w:rsidRPr="000E69BA" w:rsidRDefault="000D3424" w:rsidP="000D3424">
      <w:r w:rsidRPr="00600920">
        <w:t xml:space="preserve">All faults recorded by the Network Management System will be reconciled against the corresponding fault ticket raised by the Technical Support Centre. The exact fault duration will be calculated as the elapsed time between the fault being reported to the Technical Support Centre and the time when Service is restored. </w:t>
      </w:r>
    </w:p>
    <w:p w14:paraId="64D0F4DA" w14:textId="77777777" w:rsidR="000D3424" w:rsidRPr="00600920" w:rsidRDefault="000D3424" w:rsidP="000D3424">
      <w:pPr>
        <w:pStyle w:val="Heading2"/>
      </w:pPr>
      <w:r w:rsidRPr="00600920">
        <w:t>S</w:t>
      </w:r>
      <w:r>
        <w:t xml:space="preserve">ERVICE CREDITS </w:t>
      </w:r>
    </w:p>
    <w:p w14:paraId="3F4E3E64" w14:textId="77777777" w:rsidR="000D3424" w:rsidRPr="00EF2473" w:rsidRDefault="000D3424" w:rsidP="000D3424">
      <w:r w:rsidRPr="00EF2473">
        <w:t xml:space="preserve">The following equation will be used to calculate </w:t>
      </w:r>
      <w:r>
        <w:t>the  DRaaS replication and DRaaS portal availability</w:t>
      </w:r>
      <w:r w:rsidRPr="00EF2473">
        <w:t>. References to hours are to the number of hours in the applicable Monthly Review Period:</w:t>
      </w:r>
    </w:p>
    <w:p w14:paraId="37BC4B16" w14:textId="77777777" w:rsidR="000D3424" w:rsidRPr="00684572" w:rsidRDefault="000D3424" w:rsidP="000D3424">
      <w:r w:rsidRPr="00EF2473">
        <w:t xml:space="preserve">((Total hours – Total hours Unavailable)/Total hours) </w:t>
      </w:r>
      <w:r w:rsidRPr="00684572">
        <w:t>x 100</w:t>
      </w:r>
    </w:p>
    <w:p w14:paraId="4D994CC7" w14:textId="77777777" w:rsidR="000D3424" w:rsidRDefault="000D3424" w:rsidP="000D3424">
      <w:r w:rsidRPr="00684572">
        <w:t xml:space="preserve">Node4 will provide the Customer with service credits, as set out below, for the failure to meet the following targets: </w:t>
      </w:r>
    </w:p>
    <w:p w14:paraId="0D235A91" w14:textId="5AC7122D" w:rsidR="000D3424" w:rsidRPr="00684572" w:rsidRDefault="000A3E04" w:rsidP="000D3424">
      <w:pPr>
        <w:pStyle w:val="Heading3"/>
      </w:pPr>
      <w:r>
        <w:t>DRaaS replication a</w:t>
      </w:r>
      <w:r w:rsidR="000D3424">
        <w:t xml:space="preserve">vailability </w:t>
      </w:r>
    </w:p>
    <w:tbl>
      <w:tblPr>
        <w:tblStyle w:val="TableGrid"/>
        <w:tblW w:w="4978"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2122"/>
        <w:gridCol w:w="2856"/>
      </w:tblGrid>
      <w:tr w:rsidR="000D3424" w:rsidRPr="00654798" w14:paraId="5F934625" w14:textId="77777777" w:rsidTr="00561FC2">
        <w:trPr>
          <w:cantSplit/>
          <w:trHeight w:val="591"/>
          <w:tblCellSpacing w:w="20" w:type="dxa"/>
        </w:trPr>
        <w:tc>
          <w:tcPr>
            <w:tcW w:w="2062" w:type="dxa"/>
            <w:shd w:val="clear" w:color="auto" w:fill="565A5C"/>
          </w:tcPr>
          <w:p w14:paraId="20563236" w14:textId="77777777" w:rsidR="000D3424" w:rsidRPr="00D431E2" w:rsidRDefault="000D3424" w:rsidP="00561FC2">
            <w:pPr>
              <w:jc w:val="left"/>
              <w:rPr>
                <w:rFonts w:cs="Arial"/>
                <w:color w:val="FFFFFF"/>
              </w:rPr>
            </w:pPr>
            <w:r w:rsidRPr="00827CCF">
              <w:rPr>
                <w:rFonts w:cs="Arial"/>
                <w:color w:val="FFFFFF" w:themeColor="background1"/>
                <w:sz w:val="18"/>
                <w:szCs w:val="18"/>
              </w:rPr>
              <w:t xml:space="preserve">Availability </w:t>
            </w:r>
          </w:p>
        </w:tc>
        <w:tc>
          <w:tcPr>
            <w:tcW w:w="2796" w:type="dxa"/>
            <w:shd w:val="clear" w:color="auto" w:fill="565A5C"/>
          </w:tcPr>
          <w:p w14:paraId="25D10AAD" w14:textId="77777777" w:rsidR="000D3424" w:rsidRPr="00D431E2" w:rsidRDefault="000D3424" w:rsidP="00561FC2">
            <w:pPr>
              <w:jc w:val="left"/>
              <w:rPr>
                <w:rFonts w:cs="Arial"/>
              </w:rPr>
            </w:pPr>
            <w:r w:rsidRPr="00827CCF">
              <w:rPr>
                <w:rFonts w:cs="Arial"/>
                <w:color w:val="FFFFFF" w:themeColor="background1"/>
                <w:sz w:val="18"/>
                <w:szCs w:val="18"/>
              </w:rPr>
              <w:t xml:space="preserve">Service Credits as % of Monthly DRaaS Service Charge </w:t>
            </w:r>
          </w:p>
        </w:tc>
      </w:tr>
      <w:tr w:rsidR="000D3424" w:rsidRPr="00654798" w14:paraId="767B598F" w14:textId="77777777" w:rsidTr="00561FC2">
        <w:trPr>
          <w:trHeight w:val="158"/>
          <w:tblCellSpacing w:w="20" w:type="dxa"/>
        </w:trPr>
        <w:tc>
          <w:tcPr>
            <w:tcW w:w="2062" w:type="dxa"/>
            <w:shd w:val="clear" w:color="auto" w:fill="D9D9D9"/>
          </w:tcPr>
          <w:p w14:paraId="2FF6D53B" w14:textId="77777777" w:rsidR="000D3424" w:rsidRPr="00D431E2" w:rsidRDefault="000D3424" w:rsidP="00561FC2">
            <w:pPr>
              <w:jc w:val="left"/>
              <w:rPr>
                <w:rFonts w:cs="Arial"/>
              </w:rPr>
            </w:pPr>
            <w:r w:rsidRPr="00827CCF">
              <w:rPr>
                <w:rFonts w:cs="Arial"/>
              </w:rPr>
              <w:t>&lt;99.99%-99.85%</w:t>
            </w:r>
          </w:p>
        </w:tc>
        <w:tc>
          <w:tcPr>
            <w:tcW w:w="2796" w:type="dxa"/>
            <w:shd w:val="clear" w:color="auto" w:fill="D9D9D9"/>
          </w:tcPr>
          <w:p w14:paraId="2B5EFF78" w14:textId="77777777" w:rsidR="000D3424" w:rsidRPr="00D431E2" w:rsidRDefault="000D3424" w:rsidP="00561FC2">
            <w:pPr>
              <w:jc w:val="left"/>
              <w:rPr>
                <w:rFonts w:cs="Arial"/>
              </w:rPr>
            </w:pPr>
            <w:r w:rsidRPr="00827CCF">
              <w:rPr>
                <w:rFonts w:cs="Arial"/>
              </w:rPr>
              <w:t>5%</w:t>
            </w:r>
          </w:p>
        </w:tc>
      </w:tr>
      <w:tr w:rsidR="000D3424" w:rsidRPr="00654798" w14:paraId="455EFA0B" w14:textId="77777777" w:rsidTr="00561FC2">
        <w:trPr>
          <w:trHeight w:val="158"/>
          <w:tblCellSpacing w:w="20" w:type="dxa"/>
        </w:trPr>
        <w:tc>
          <w:tcPr>
            <w:tcW w:w="2062" w:type="dxa"/>
            <w:shd w:val="clear" w:color="auto" w:fill="D9D9D9"/>
          </w:tcPr>
          <w:p w14:paraId="7527C147" w14:textId="77777777" w:rsidR="000D3424" w:rsidRPr="00D431E2" w:rsidDel="00D50405" w:rsidRDefault="000D3424" w:rsidP="00561FC2">
            <w:pPr>
              <w:jc w:val="left"/>
              <w:rPr>
                <w:rFonts w:cs="Arial"/>
              </w:rPr>
            </w:pPr>
            <w:r w:rsidRPr="00211F32">
              <w:rPr>
                <w:rFonts w:cs="Arial"/>
              </w:rPr>
              <w:t>&lt;99.85%-99.7%</w:t>
            </w:r>
          </w:p>
        </w:tc>
        <w:tc>
          <w:tcPr>
            <w:tcW w:w="2796" w:type="dxa"/>
            <w:shd w:val="clear" w:color="auto" w:fill="D9D9D9"/>
          </w:tcPr>
          <w:p w14:paraId="112EA43A" w14:textId="77777777" w:rsidR="000D3424" w:rsidRPr="00D431E2" w:rsidRDefault="000D3424" w:rsidP="00561FC2">
            <w:pPr>
              <w:jc w:val="left"/>
              <w:rPr>
                <w:rFonts w:cs="Arial"/>
              </w:rPr>
            </w:pPr>
            <w:r w:rsidRPr="00211F32">
              <w:rPr>
                <w:rFonts w:cs="Arial"/>
              </w:rPr>
              <w:t xml:space="preserve">10% </w:t>
            </w:r>
          </w:p>
        </w:tc>
      </w:tr>
      <w:tr w:rsidR="000D3424" w:rsidRPr="00654798" w14:paraId="108FBA65" w14:textId="77777777" w:rsidTr="00561FC2">
        <w:trPr>
          <w:trHeight w:val="158"/>
          <w:tblCellSpacing w:w="20" w:type="dxa"/>
        </w:trPr>
        <w:tc>
          <w:tcPr>
            <w:tcW w:w="2062" w:type="dxa"/>
            <w:shd w:val="clear" w:color="auto" w:fill="D9D9D9"/>
          </w:tcPr>
          <w:p w14:paraId="67AB61F1" w14:textId="77777777" w:rsidR="000D3424" w:rsidRPr="00827CCF" w:rsidRDefault="000D3424" w:rsidP="00561FC2">
            <w:pPr>
              <w:jc w:val="left"/>
              <w:rPr>
                <w:rFonts w:cs="Arial"/>
              </w:rPr>
            </w:pPr>
            <w:r w:rsidRPr="00211F32">
              <w:rPr>
                <w:rFonts w:cs="Arial"/>
              </w:rPr>
              <w:t>&lt;99.7%-99.5%</w:t>
            </w:r>
          </w:p>
        </w:tc>
        <w:tc>
          <w:tcPr>
            <w:tcW w:w="2796" w:type="dxa"/>
            <w:shd w:val="clear" w:color="auto" w:fill="D9D9D9"/>
          </w:tcPr>
          <w:p w14:paraId="34D9549C" w14:textId="77777777" w:rsidR="000D3424" w:rsidRPr="00827CCF" w:rsidRDefault="000D3424" w:rsidP="00561FC2">
            <w:pPr>
              <w:jc w:val="left"/>
              <w:rPr>
                <w:rFonts w:cs="Arial"/>
              </w:rPr>
            </w:pPr>
            <w:r w:rsidRPr="00211F32">
              <w:rPr>
                <w:rFonts w:cs="Arial"/>
              </w:rPr>
              <w:t>20%</w:t>
            </w:r>
          </w:p>
        </w:tc>
      </w:tr>
      <w:tr w:rsidR="000D3424" w:rsidRPr="00654798" w14:paraId="6A661127" w14:textId="77777777" w:rsidTr="00561FC2">
        <w:trPr>
          <w:trHeight w:val="158"/>
          <w:tblCellSpacing w:w="20" w:type="dxa"/>
        </w:trPr>
        <w:tc>
          <w:tcPr>
            <w:tcW w:w="2062" w:type="dxa"/>
            <w:shd w:val="clear" w:color="auto" w:fill="D9D9D9"/>
          </w:tcPr>
          <w:p w14:paraId="74EE605F" w14:textId="77777777" w:rsidR="000D3424" w:rsidRPr="00827CCF" w:rsidRDefault="000D3424" w:rsidP="00561FC2">
            <w:pPr>
              <w:jc w:val="left"/>
              <w:rPr>
                <w:rFonts w:cs="Arial"/>
              </w:rPr>
            </w:pPr>
            <w:r w:rsidRPr="00211F32">
              <w:rPr>
                <w:rFonts w:cs="Arial"/>
              </w:rPr>
              <w:t>&lt;99.5%-99.0%</w:t>
            </w:r>
          </w:p>
        </w:tc>
        <w:tc>
          <w:tcPr>
            <w:tcW w:w="2796" w:type="dxa"/>
            <w:shd w:val="clear" w:color="auto" w:fill="D9D9D9"/>
          </w:tcPr>
          <w:p w14:paraId="77F418BD" w14:textId="77777777" w:rsidR="000D3424" w:rsidRPr="00827CCF" w:rsidRDefault="000D3424" w:rsidP="00561FC2">
            <w:pPr>
              <w:jc w:val="left"/>
              <w:rPr>
                <w:rFonts w:cs="Arial"/>
              </w:rPr>
            </w:pPr>
            <w:r w:rsidRPr="00211F32">
              <w:rPr>
                <w:rFonts w:cs="Arial"/>
              </w:rPr>
              <w:t>25%</w:t>
            </w:r>
          </w:p>
        </w:tc>
      </w:tr>
      <w:tr w:rsidR="000D3424" w:rsidRPr="00654798" w14:paraId="761FD4D6" w14:textId="77777777" w:rsidTr="00561FC2">
        <w:trPr>
          <w:trHeight w:val="158"/>
          <w:tblCellSpacing w:w="20" w:type="dxa"/>
        </w:trPr>
        <w:tc>
          <w:tcPr>
            <w:tcW w:w="2062" w:type="dxa"/>
            <w:shd w:val="clear" w:color="auto" w:fill="D9D9D9"/>
          </w:tcPr>
          <w:p w14:paraId="68AD072B" w14:textId="77777777" w:rsidR="000D3424" w:rsidRPr="00827CCF" w:rsidRDefault="000D3424" w:rsidP="00561FC2">
            <w:pPr>
              <w:jc w:val="left"/>
              <w:rPr>
                <w:rFonts w:cs="Arial"/>
              </w:rPr>
            </w:pPr>
            <w:r w:rsidRPr="00211F32">
              <w:rPr>
                <w:rFonts w:cs="Arial"/>
              </w:rPr>
              <w:t>&lt;99%</w:t>
            </w:r>
          </w:p>
        </w:tc>
        <w:tc>
          <w:tcPr>
            <w:tcW w:w="2796" w:type="dxa"/>
            <w:shd w:val="clear" w:color="auto" w:fill="D9D9D9"/>
          </w:tcPr>
          <w:p w14:paraId="50F8DC14" w14:textId="77777777" w:rsidR="000D3424" w:rsidRPr="00827CCF" w:rsidRDefault="000D3424" w:rsidP="00561FC2">
            <w:pPr>
              <w:jc w:val="left"/>
              <w:rPr>
                <w:rFonts w:cs="Arial"/>
              </w:rPr>
            </w:pPr>
            <w:r w:rsidRPr="00211F32">
              <w:rPr>
                <w:rFonts w:cs="Arial"/>
              </w:rPr>
              <w:t>50%</w:t>
            </w:r>
          </w:p>
        </w:tc>
      </w:tr>
    </w:tbl>
    <w:p w14:paraId="3E351353" w14:textId="00626E58" w:rsidR="000D3424" w:rsidRPr="00684572" w:rsidRDefault="000A3E04" w:rsidP="000D3424">
      <w:pPr>
        <w:pStyle w:val="Heading3"/>
      </w:pPr>
      <w:r>
        <w:t>DRaaS portal a</w:t>
      </w:r>
      <w:r w:rsidR="000D3424">
        <w:t xml:space="preserve">vailability </w:t>
      </w:r>
    </w:p>
    <w:tbl>
      <w:tblPr>
        <w:tblStyle w:val="TableGrid"/>
        <w:tblW w:w="4978"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2122"/>
        <w:gridCol w:w="2856"/>
      </w:tblGrid>
      <w:tr w:rsidR="000D3424" w:rsidRPr="001B2193" w14:paraId="0162C23C" w14:textId="77777777" w:rsidTr="00561FC2">
        <w:trPr>
          <w:cantSplit/>
          <w:trHeight w:val="591"/>
          <w:tblCellSpacing w:w="20" w:type="dxa"/>
        </w:trPr>
        <w:tc>
          <w:tcPr>
            <w:tcW w:w="2062" w:type="dxa"/>
            <w:shd w:val="clear" w:color="auto" w:fill="565A5C"/>
          </w:tcPr>
          <w:p w14:paraId="15331B1E" w14:textId="77777777" w:rsidR="000D3424" w:rsidRPr="00827CCF" w:rsidRDefault="000D3424" w:rsidP="00561FC2">
            <w:pPr>
              <w:jc w:val="left"/>
              <w:rPr>
                <w:rFonts w:cs="Arial"/>
                <w:color w:val="FFFFFF"/>
              </w:rPr>
            </w:pPr>
            <w:r w:rsidRPr="00827CCF">
              <w:rPr>
                <w:rFonts w:cs="Arial"/>
                <w:color w:val="FFFFFF" w:themeColor="background1"/>
                <w:sz w:val="18"/>
                <w:szCs w:val="18"/>
              </w:rPr>
              <w:t xml:space="preserve">Availability </w:t>
            </w:r>
          </w:p>
        </w:tc>
        <w:tc>
          <w:tcPr>
            <w:tcW w:w="2796" w:type="dxa"/>
            <w:shd w:val="clear" w:color="auto" w:fill="565A5C"/>
          </w:tcPr>
          <w:p w14:paraId="64A3F7B5" w14:textId="77777777" w:rsidR="000D3424" w:rsidRPr="00827CCF" w:rsidRDefault="000D3424" w:rsidP="00561FC2">
            <w:pPr>
              <w:jc w:val="left"/>
              <w:rPr>
                <w:rFonts w:cs="Arial"/>
              </w:rPr>
            </w:pPr>
            <w:r w:rsidRPr="00827CCF">
              <w:rPr>
                <w:rFonts w:cs="Arial"/>
                <w:color w:val="FFFFFF" w:themeColor="background1"/>
                <w:sz w:val="18"/>
                <w:szCs w:val="18"/>
              </w:rPr>
              <w:t xml:space="preserve">Service Credits as % of Monthly DRaaS Service Charge </w:t>
            </w:r>
          </w:p>
        </w:tc>
      </w:tr>
      <w:tr w:rsidR="000D3424" w:rsidRPr="001B2193" w14:paraId="4BBA92F0" w14:textId="77777777" w:rsidTr="00561FC2">
        <w:trPr>
          <w:trHeight w:val="158"/>
          <w:tblCellSpacing w:w="20" w:type="dxa"/>
        </w:trPr>
        <w:tc>
          <w:tcPr>
            <w:tcW w:w="2062" w:type="dxa"/>
            <w:shd w:val="clear" w:color="auto" w:fill="D9D9D9"/>
          </w:tcPr>
          <w:p w14:paraId="44C2255A" w14:textId="77777777" w:rsidR="000D3424" w:rsidRPr="00827CCF" w:rsidRDefault="000D3424" w:rsidP="00561FC2">
            <w:pPr>
              <w:jc w:val="left"/>
              <w:rPr>
                <w:rFonts w:cs="Arial"/>
              </w:rPr>
            </w:pPr>
            <w:r w:rsidRPr="00827CCF">
              <w:rPr>
                <w:rFonts w:cs="Arial"/>
              </w:rPr>
              <w:t>&lt;99.9%-99.7%</w:t>
            </w:r>
          </w:p>
        </w:tc>
        <w:tc>
          <w:tcPr>
            <w:tcW w:w="2796" w:type="dxa"/>
            <w:shd w:val="clear" w:color="auto" w:fill="D9D9D9"/>
          </w:tcPr>
          <w:p w14:paraId="671FD851" w14:textId="77777777" w:rsidR="000D3424" w:rsidRPr="00827CCF" w:rsidRDefault="000D3424" w:rsidP="00561FC2">
            <w:pPr>
              <w:jc w:val="left"/>
              <w:rPr>
                <w:rFonts w:cs="Arial"/>
              </w:rPr>
            </w:pPr>
            <w:r w:rsidRPr="00827CCF">
              <w:rPr>
                <w:rFonts w:cs="Arial"/>
              </w:rPr>
              <w:t>5%</w:t>
            </w:r>
          </w:p>
        </w:tc>
      </w:tr>
      <w:tr w:rsidR="000D3424" w:rsidRPr="001B2193" w14:paraId="6D86B639" w14:textId="77777777" w:rsidTr="00561FC2">
        <w:trPr>
          <w:trHeight w:val="158"/>
          <w:tblCellSpacing w:w="20" w:type="dxa"/>
        </w:trPr>
        <w:tc>
          <w:tcPr>
            <w:tcW w:w="2062" w:type="dxa"/>
            <w:shd w:val="clear" w:color="auto" w:fill="D9D9D9"/>
          </w:tcPr>
          <w:p w14:paraId="4FA3D029" w14:textId="77777777" w:rsidR="000D3424" w:rsidRPr="00827CCF" w:rsidDel="00D50405" w:rsidRDefault="000D3424" w:rsidP="00561FC2">
            <w:pPr>
              <w:jc w:val="left"/>
              <w:rPr>
                <w:rFonts w:cs="Arial"/>
              </w:rPr>
            </w:pPr>
            <w:r w:rsidRPr="00827CCF">
              <w:rPr>
                <w:rFonts w:cs="Arial"/>
              </w:rPr>
              <w:t>&lt;99.7%-99.5%</w:t>
            </w:r>
          </w:p>
        </w:tc>
        <w:tc>
          <w:tcPr>
            <w:tcW w:w="2796" w:type="dxa"/>
            <w:shd w:val="clear" w:color="auto" w:fill="D9D9D9"/>
          </w:tcPr>
          <w:p w14:paraId="5A759FF7" w14:textId="77777777" w:rsidR="000D3424" w:rsidRPr="00827CCF" w:rsidRDefault="000D3424" w:rsidP="00561FC2">
            <w:pPr>
              <w:jc w:val="left"/>
              <w:rPr>
                <w:rFonts w:cs="Arial"/>
              </w:rPr>
            </w:pPr>
            <w:r w:rsidRPr="00827CCF">
              <w:rPr>
                <w:rFonts w:cs="Arial"/>
              </w:rPr>
              <w:t xml:space="preserve">10% </w:t>
            </w:r>
          </w:p>
        </w:tc>
      </w:tr>
      <w:tr w:rsidR="000D3424" w:rsidRPr="001B2193" w14:paraId="10BFD8ED" w14:textId="77777777" w:rsidTr="00561FC2">
        <w:trPr>
          <w:trHeight w:val="158"/>
          <w:tblCellSpacing w:w="20" w:type="dxa"/>
        </w:trPr>
        <w:tc>
          <w:tcPr>
            <w:tcW w:w="2062" w:type="dxa"/>
            <w:shd w:val="clear" w:color="auto" w:fill="D9D9D9"/>
          </w:tcPr>
          <w:p w14:paraId="64098D55" w14:textId="77777777" w:rsidR="000D3424" w:rsidRPr="00827CCF" w:rsidRDefault="000D3424" w:rsidP="00561FC2">
            <w:pPr>
              <w:jc w:val="left"/>
              <w:rPr>
                <w:rFonts w:cs="Arial"/>
              </w:rPr>
            </w:pPr>
            <w:r w:rsidRPr="00827CCF">
              <w:rPr>
                <w:rFonts w:cs="Arial"/>
              </w:rPr>
              <w:t>&lt;99.5%-99.0%</w:t>
            </w:r>
          </w:p>
        </w:tc>
        <w:tc>
          <w:tcPr>
            <w:tcW w:w="2796" w:type="dxa"/>
            <w:shd w:val="clear" w:color="auto" w:fill="D9D9D9"/>
          </w:tcPr>
          <w:p w14:paraId="5D7FF3FB" w14:textId="77777777" w:rsidR="000D3424" w:rsidRPr="00827CCF" w:rsidRDefault="000D3424" w:rsidP="00561FC2">
            <w:pPr>
              <w:jc w:val="left"/>
              <w:rPr>
                <w:rFonts w:cs="Arial"/>
              </w:rPr>
            </w:pPr>
            <w:r w:rsidRPr="00827CCF">
              <w:rPr>
                <w:rFonts w:cs="Arial"/>
              </w:rPr>
              <w:t>20%</w:t>
            </w:r>
          </w:p>
        </w:tc>
      </w:tr>
      <w:tr w:rsidR="000D3424" w:rsidRPr="001B2193" w14:paraId="7D571A82" w14:textId="77777777" w:rsidTr="00561FC2">
        <w:trPr>
          <w:trHeight w:val="158"/>
          <w:tblCellSpacing w:w="20" w:type="dxa"/>
        </w:trPr>
        <w:tc>
          <w:tcPr>
            <w:tcW w:w="2062" w:type="dxa"/>
            <w:shd w:val="clear" w:color="auto" w:fill="D9D9D9"/>
          </w:tcPr>
          <w:p w14:paraId="2AF1AF6D" w14:textId="77777777" w:rsidR="000D3424" w:rsidRPr="00827CCF" w:rsidRDefault="000D3424" w:rsidP="00561FC2">
            <w:pPr>
              <w:jc w:val="left"/>
              <w:rPr>
                <w:rFonts w:cs="Arial"/>
              </w:rPr>
            </w:pPr>
            <w:r w:rsidRPr="00827CCF">
              <w:rPr>
                <w:rFonts w:cs="Arial"/>
              </w:rPr>
              <w:t>&lt;99.0%-98.5%</w:t>
            </w:r>
          </w:p>
        </w:tc>
        <w:tc>
          <w:tcPr>
            <w:tcW w:w="2796" w:type="dxa"/>
            <w:shd w:val="clear" w:color="auto" w:fill="D9D9D9"/>
          </w:tcPr>
          <w:p w14:paraId="14E3AC56" w14:textId="77777777" w:rsidR="000D3424" w:rsidRPr="00827CCF" w:rsidRDefault="000D3424" w:rsidP="00561FC2">
            <w:pPr>
              <w:jc w:val="left"/>
              <w:rPr>
                <w:rFonts w:cs="Arial"/>
              </w:rPr>
            </w:pPr>
            <w:r w:rsidRPr="00827CCF">
              <w:rPr>
                <w:rFonts w:cs="Arial"/>
              </w:rPr>
              <w:t>25%</w:t>
            </w:r>
          </w:p>
        </w:tc>
      </w:tr>
      <w:tr w:rsidR="000D3424" w:rsidRPr="001B2193" w14:paraId="342EAE06" w14:textId="77777777" w:rsidTr="00561FC2">
        <w:trPr>
          <w:trHeight w:val="158"/>
          <w:tblCellSpacing w:w="20" w:type="dxa"/>
        </w:trPr>
        <w:tc>
          <w:tcPr>
            <w:tcW w:w="2062" w:type="dxa"/>
            <w:shd w:val="clear" w:color="auto" w:fill="D9D9D9"/>
          </w:tcPr>
          <w:p w14:paraId="11A0E112" w14:textId="77777777" w:rsidR="000D3424" w:rsidRPr="00827CCF" w:rsidRDefault="000D3424" w:rsidP="00561FC2">
            <w:pPr>
              <w:jc w:val="left"/>
              <w:rPr>
                <w:rFonts w:cs="Arial"/>
              </w:rPr>
            </w:pPr>
            <w:r w:rsidRPr="00827CCF">
              <w:rPr>
                <w:rFonts w:cs="Arial"/>
              </w:rPr>
              <w:t>&lt;98%</w:t>
            </w:r>
          </w:p>
        </w:tc>
        <w:tc>
          <w:tcPr>
            <w:tcW w:w="2796" w:type="dxa"/>
            <w:shd w:val="clear" w:color="auto" w:fill="D9D9D9"/>
          </w:tcPr>
          <w:p w14:paraId="63E71C1F" w14:textId="77777777" w:rsidR="000D3424" w:rsidRPr="00827CCF" w:rsidRDefault="000D3424" w:rsidP="00561FC2">
            <w:pPr>
              <w:jc w:val="left"/>
              <w:rPr>
                <w:rFonts w:cs="Arial"/>
              </w:rPr>
            </w:pPr>
            <w:r w:rsidRPr="00827CCF">
              <w:rPr>
                <w:rFonts w:cs="Arial"/>
              </w:rPr>
              <w:t>50%</w:t>
            </w:r>
          </w:p>
        </w:tc>
      </w:tr>
    </w:tbl>
    <w:p w14:paraId="39EB3806" w14:textId="64797FEC" w:rsidR="000D3424" w:rsidRDefault="000A3E04" w:rsidP="000D3424">
      <w:pPr>
        <w:pStyle w:val="Heading3"/>
      </w:pPr>
      <w:r>
        <w:t>Calculation of service c</w:t>
      </w:r>
      <w:r w:rsidR="000D3424" w:rsidRPr="00600920">
        <w:t xml:space="preserve">redits </w:t>
      </w:r>
    </w:p>
    <w:p w14:paraId="0FD11B05" w14:textId="77777777" w:rsidR="000D3424" w:rsidRPr="00600920" w:rsidRDefault="000D3424" w:rsidP="000D3424">
      <w:r w:rsidRPr="00600920">
        <w:t xml:space="preserve">Where a Monthly Review Period incorporates part of a month, any service credit will apply to a pro-rated monthly Rental </w:t>
      </w:r>
      <w:r>
        <w:t>Fee</w:t>
      </w:r>
      <w:r w:rsidRPr="00600920">
        <w:t xml:space="preserve">. </w:t>
      </w:r>
    </w:p>
    <w:p w14:paraId="64064450" w14:textId="77777777" w:rsidR="000D3424" w:rsidRPr="00600920" w:rsidRDefault="000D3424" w:rsidP="000D3424">
      <w:r w:rsidRPr="00600920">
        <w:lastRenderedPageBreak/>
        <w:t xml:space="preserve">Service credits will be calculated monthly, aggregated and credited to the Customer on a quarterly basis. </w:t>
      </w:r>
    </w:p>
    <w:p w14:paraId="5F77A56D" w14:textId="77777777" w:rsidR="000D3424" w:rsidRPr="00600920" w:rsidRDefault="000D3424" w:rsidP="000D3424">
      <w:r w:rsidRPr="00600920">
        <w:t xml:space="preserve">If a Service is cancelled during a Monthly Review Period, no service credit will be payable in respect of </w:t>
      </w:r>
      <w:r>
        <w:t>the service</w:t>
      </w:r>
      <w:r w:rsidRPr="00600920">
        <w:t xml:space="preserve"> for that Monthly Review Period. </w:t>
      </w:r>
    </w:p>
    <w:p w14:paraId="0C1223D0" w14:textId="77777777" w:rsidR="000D3424" w:rsidRPr="000E69BA" w:rsidRDefault="000D3424" w:rsidP="000D3424">
      <w:r w:rsidRPr="00600920">
        <w:t>The Customer must claim any service credit due to a failure to meet the Service Levels, in writing, within twenty-one (21) Business Days of the date at which the Customer could reasonably be expected to become aware of such failure, otherwise no service credits shall be payable. The Customer shall not be entitled to any service credits in respect of a claim unless and until Node4 has received notice of the claim in writing in accordance with the above. Should Node4 require additional information from the Customer, the Customer shall assist, and shall not be entitled to any service credits until Node4 has received all the information it has reasonably requested.</w:t>
      </w:r>
    </w:p>
    <w:p w14:paraId="2EF4948B" w14:textId="6754EFF9" w:rsidR="000D3424" w:rsidRPr="00600920" w:rsidRDefault="000D3424" w:rsidP="000D3424">
      <w:pPr>
        <w:pStyle w:val="Heading3"/>
      </w:pPr>
      <w:r w:rsidRPr="00600920">
        <w:t>Exclusions to</w:t>
      </w:r>
      <w:r w:rsidR="000A3E04">
        <w:t xml:space="preserve"> payment of s</w:t>
      </w:r>
      <w:r w:rsidRPr="00600920">
        <w:t xml:space="preserve">ervice </w:t>
      </w:r>
      <w:r w:rsidR="000A3E04">
        <w:t>c</w:t>
      </w:r>
      <w:r w:rsidRPr="00600920">
        <w:t xml:space="preserve">redits </w:t>
      </w:r>
    </w:p>
    <w:p w14:paraId="77F351E3" w14:textId="77777777" w:rsidR="000D3424" w:rsidRDefault="000D3424" w:rsidP="000D3424">
      <w:r w:rsidRPr="00600920">
        <w:t xml:space="preserve">Without prejudice to or limitation of the definition of Service Availability, service credits will not be payable by Node4 to the Customer in relation to the Service Availability for faults or disruptions to the Services caused by any of the following: </w:t>
      </w:r>
    </w:p>
    <w:p w14:paraId="4C9976E9" w14:textId="77777777" w:rsidR="000D3424" w:rsidRPr="00600920" w:rsidRDefault="000D3424" w:rsidP="000D3424">
      <w:pPr>
        <w:pStyle w:val="ListParagraph"/>
        <w:numPr>
          <w:ilvl w:val="0"/>
          <w:numId w:val="32"/>
        </w:numPr>
        <w:spacing w:before="120" w:after="120" w:afterAutospacing="0"/>
        <w:ind w:left="360"/>
        <w:contextualSpacing w:val="0"/>
      </w:pPr>
      <w:r w:rsidRPr="00600920">
        <w:t>The fault, action or negligence of the Customer, its employees, agents or contractors;</w:t>
      </w:r>
    </w:p>
    <w:p w14:paraId="3673B5D1" w14:textId="77777777" w:rsidR="000D3424" w:rsidRPr="00600920" w:rsidRDefault="000D3424" w:rsidP="000D3424">
      <w:pPr>
        <w:pStyle w:val="ListParagraph"/>
        <w:numPr>
          <w:ilvl w:val="0"/>
          <w:numId w:val="32"/>
        </w:numPr>
        <w:spacing w:before="120" w:after="120" w:afterAutospacing="0"/>
        <w:ind w:left="360"/>
        <w:contextualSpacing w:val="0"/>
      </w:pPr>
      <w:r w:rsidRPr="00600920">
        <w:t xml:space="preserve">The Customer failing to comply with the provisions of the Agreement; </w:t>
      </w:r>
    </w:p>
    <w:p w14:paraId="1012DF5B" w14:textId="77777777" w:rsidR="000D3424" w:rsidRPr="00600920" w:rsidRDefault="000D3424" w:rsidP="000D3424">
      <w:pPr>
        <w:pStyle w:val="ListParagraph"/>
        <w:numPr>
          <w:ilvl w:val="0"/>
          <w:numId w:val="32"/>
        </w:numPr>
        <w:spacing w:before="120" w:after="120" w:afterAutospacing="0"/>
        <w:ind w:left="360"/>
        <w:contextualSpacing w:val="0"/>
      </w:pPr>
      <w:r w:rsidRPr="00600920">
        <w:t xml:space="preserve">A fault in, or any other problem associated with, equipment connected on the Customer’s side of the Node4 Network termination point, except where such fault or problem is directly caused by the fault, action or negligence of Node4, its employees, agents or contractors; </w:t>
      </w:r>
    </w:p>
    <w:p w14:paraId="3F0F6406" w14:textId="77777777" w:rsidR="000D3424" w:rsidRPr="00600920" w:rsidRDefault="000D3424" w:rsidP="000D3424">
      <w:pPr>
        <w:pStyle w:val="ListParagraph"/>
        <w:numPr>
          <w:ilvl w:val="0"/>
          <w:numId w:val="32"/>
        </w:numPr>
        <w:spacing w:before="120" w:after="120" w:afterAutospacing="0"/>
        <w:ind w:left="360"/>
        <w:contextualSpacing w:val="0"/>
      </w:pPr>
      <w:r w:rsidRPr="00600920">
        <w:t xml:space="preserve">Any event described in </w:t>
      </w:r>
      <w:r>
        <w:t>Clause 10 (Force Majeure) of Node4’s</w:t>
      </w:r>
      <w:r w:rsidRPr="00600920">
        <w:t xml:space="preserve"> Terms and Conditions; </w:t>
      </w:r>
    </w:p>
    <w:p w14:paraId="4C7D1C56" w14:textId="77777777" w:rsidR="000D3424" w:rsidRPr="00600920" w:rsidRDefault="000D3424" w:rsidP="000D3424">
      <w:pPr>
        <w:pStyle w:val="ListParagraph"/>
        <w:numPr>
          <w:ilvl w:val="0"/>
          <w:numId w:val="32"/>
        </w:numPr>
        <w:spacing w:before="120" w:after="120" w:afterAutospacing="0"/>
        <w:ind w:left="360"/>
        <w:contextualSpacing w:val="0"/>
      </w:pPr>
      <w:r w:rsidRPr="00600920">
        <w:t xml:space="preserve">Any Planned Outage. </w:t>
      </w:r>
    </w:p>
    <w:p w14:paraId="4E211B16" w14:textId="05174436" w:rsidR="70CA1BE2" w:rsidRDefault="70CA1BE2" w:rsidP="70CA1BE2"/>
    <w:p w14:paraId="57835812" w14:textId="44FDD5C8" w:rsidR="70CA1BE2" w:rsidRDefault="70CA1BE2" w:rsidP="70CA1BE2"/>
    <w:p w14:paraId="2878B7A7" w14:textId="705CC9E1" w:rsidR="70CA1BE2" w:rsidRDefault="70CA1BE2" w:rsidP="70CA1BE2"/>
    <w:p w14:paraId="28D8A15E" w14:textId="0DD23317" w:rsidR="70CA1BE2" w:rsidRDefault="70CA1BE2" w:rsidP="70CA1BE2"/>
    <w:p w14:paraId="5E65A846" w14:textId="15404A3D" w:rsidR="70CA1BE2" w:rsidRDefault="70CA1BE2" w:rsidP="70CA1BE2"/>
    <w:p w14:paraId="052A7FAC" w14:textId="77777777" w:rsidR="00F4051C" w:rsidRDefault="00F4051C" w:rsidP="00E26340">
      <w:pPr>
        <w:rPr>
          <w:rFonts w:cs="Helvetica-Narrow"/>
        </w:rPr>
      </w:pPr>
    </w:p>
    <w:sectPr w:rsidR="00F4051C" w:rsidSect="00CD0668">
      <w:headerReference w:type="default" r:id="rId17"/>
      <w:footerReference w:type="even" r:id="rId18"/>
      <w:footerReference w:type="default" r:id="rId19"/>
      <w:headerReference w:type="first" r:id="rId20"/>
      <w:footerReference w:type="first" r:id="rId21"/>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FFC31" w14:textId="77777777" w:rsidR="00775F65" w:rsidRDefault="00775F65" w:rsidP="00763FA4">
      <w:pPr>
        <w:spacing w:after="0" w:line="240" w:lineRule="auto"/>
      </w:pPr>
      <w:r>
        <w:separator/>
      </w:r>
    </w:p>
  </w:endnote>
  <w:endnote w:type="continuationSeparator" w:id="0">
    <w:p w14:paraId="070C3795" w14:textId="77777777" w:rsidR="00775F65" w:rsidRDefault="00775F65"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462B63" w:rsidRDefault="00462B63">
    <w:pPr>
      <w:pStyle w:val="Footer"/>
    </w:pPr>
  </w:p>
  <w:p w14:paraId="0E8778D2" w14:textId="77777777" w:rsidR="00462B63" w:rsidRDefault="00462B63">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462B63" w:rsidRPr="00C97C97" w:rsidRDefault="00462B63"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9264"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4E59D86"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4.8pt" to="58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" strokecolor="#f79220 [3204]" strokeweight="2pt">
              <o:lock v:ext="edit" shapetype="f"/>
            </v:line>
          </w:pict>
        </mc:Fallback>
      </mc:AlternateContent>
    </w:r>
  </w:p>
  <w:p w14:paraId="7F4F41DB" w14:textId="2EF23C34" w:rsidR="00462B63" w:rsidRPr="00C97C97" w:rsidRDefault="00462B63"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tag w:val=""/>
        <w:id w:val="-597567685"/>
        <w:placeholder>
          <w:docPart w:val="50427EA1CB3D4A8D99CDDA77AE5C2155"/>
        </w:placeholder>
        <w:dataBinding w:prefixMappings="xmlns:ns0='http://purl.org/dc/elements/1.1/' xmlns:ns1='http://schemas.openxmlformats.org/package/2006/metadata/core-properties' " w:xpath="/ns1:coreProperties[1]/ns0:title[1]" w:storeItemID="{6C3C8BC8-F283-45AE-878A-BAB7291924A1}"/>
        <w:text/>
      </w:sdtPr>
      <w:sdtEndPr/>
      <w:sdtContent>
        <w:r w:rsidR="00F8436C">
          <w:rPr>
            <w:color w:val="8E908F"/>
            <w:sz w:val="18"/>
            <w:szCs w:val="18"/>
          </w:rPr>
          <w:t>Schedule document</w:t>
        </w:r>
      </w:sdtContent>
    </w:sdt>
    <w:r w:rsidRPr="006D16DC">
      <w:rPr>
        <w:color w:val="8E908F"/>
        <w:sz w:val="18"/>
        <w:szCs w:val="18"/>
      </w:rPr>
      <w:t xml:space="preserve"> | </w:t>
    </w:r>
    <w:sdt>
      <w:sdtPr>
        <w:rPr>
          <w:color w:val="8E908F"/>
          <w:sz w:val="18"/>
          <w:szCs w:val="18"/>
        </w:rPr>
        <w:alias w:val="Subject"/>
        <w:tag w:val=""/>
        <w:id w:val="1318616331"/>
        <w:placeholder>
          <w:docPart w:val="50427EA1CB3D4A8D99CDDA77AE5C2155"/>
        </w:placeholder>
        <w:dataBinding w:prefixMappings="xmlns:ns0='http://purl.org/dc/elements/1.1/' xmlns:ns1='http://schemas.openxmlformats.org/package/2006/metadata/core-properties' " w:xpath="/ns1:coreProperties[1]/ns0:subject[1]" w:storeItemID="{6C3C8BC8-F283-45AE-878A-BAB7291924A1}"/>
        <w:text/>
      </w:sdtPr>
      <w:sdtEndPr/>
      <w:sdtContent>
        <w:r w:rsidR="00917636">
          <w:rPr>
            <w:color w:val="8E908F"/>
            <w:sz w:val="18"/>
            <w:szCs w:val="18"/>
          </w:rPr>
          <w:t>Disaster Recovery as a Service (DRAAS)</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w:t>
    </w:r>
    <w:r w:rsidRPr="006D16DC">
      <w:rPr>
        <w:rStyle w:val="Heading4Char"/>
        <w:caps w:val="0"/>
        <w:color w:val="8E908F"/>
        <w:sz w:val="18"/>
        <w:szCs w:val="18"/>
      </w:rPr>
      <w:t xml:space="preserve"> </w:t>
    </w:r>
    <w:sdt>
      <w:sdtPr>
        <w:rPr>
          <w:rStyle w:val="Footertxt"/>
        </w:rPr>
        <w:alias w:val="Security Level Output"/>
        <w:tag w:val="Security Level Output"/>
        <w:id w:val="1286077588"/>
        <w:placeholder>
          <w:docPart w:val="C3FE86D5B5754E4B8C26B5E0BE22EB98"/>
        </w:placeholder>
        <w:dataBinding w:prefixMappings="xmlns:ns0='Security Type' " w:xpath="/ns0:root[1]/ns0:Security[1]" w:storeItemID="{3B0260BB-1140-42BD-B14A-DF7052E49D72}"/>
        <w:text/>
      </w:sdtPr>
      <w:sdtEndPr>
        <w:rPr>
          <w:rStyle w:val="Footertxt"/>
        </w:rPr>
      </w:sdtEndPr>
      <w:sdtContent>
        <w:r>
          <w:rPr>
            <w:rStyle w:val="Footertxt"/>
          </w:rPr>
          <w:t>Public</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 xml:space="preserve">| </w:t>
    </w:r>
    <w:sdt>
      <w:sdtPr>
        <w:rPr>
          <w:color w:val="8E908F"/>
          <w:sz w:val="18"/>
          <w:szCs w:val="18"/>
        </w:rPr>
        <w:alias w:val="Publish Date"/>
        <w:tag w:val=""/>
        <w:id w:val="-55747426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sdtContent>
        <w:r w:rsidR="00917636">
          <w:rPr>
            <w:color w:val="8E908F"/>
            <w:sz w:val="18"/>
            <w:szCs w:val="18"/>
          </w:rPr>
          <w:t>28/07/2017</w:t>
        </w:r>
      </w:sdtContent>
    </w:sdt>
    <w:r>
      <w:tab/>
    </w:r>
    <w:r>
      <w:fldChar w:fldCharType="begin"/>
    </w:r>
    <w:r>
      <w:instrText xml:space="preserve"> PAGE  \* Arabic  \* MERGEFORMAT </w:instrText>
    </w:r>
    <w:r>
      <w:fldChar w:fldCharType="separate"/>
    </w:r>
    <w:r w:rsidR="000A3E04">
      <w:rPr>
        <w:noProof/>
      </w:rPr>
      <w:t>8</w:t>
    </w:r>
    <w:r>
      <w:fldChar w:fldCharType="end"/>
    </w:r>
    <w:r>
      <w:br/>
    </w:r>
  </w:p>
  <w:p w14:paraId="1E9E5FC7" w14:textId="77777777" w:rsidR="00462B63" w:rsidRPr="008E3675" w:rsidRDefault="00462B63"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462B63" w:rsidRDefault="00462B63"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F7053A9"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12.2pt" to="5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" strokecolor="#f45206" strokeweight="2pt">
              <o:lock v:ext="edit" shapetype="f"/>
            </v:line>
          </w:pict>
        </mc:Fallback>
      </mc:AlternateContent>
    </w:r>
  </w:p>
  <w:p w14:paraId="7D579743" w14:textId="77777777" w:rsidR="00462B63" w:rsidRPr="008E3675" w:rsidRDefault="00462B63"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462B63" w:rsidRPr="00067346" w:rsidRDefault="00462B63"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E91E2" w14:textId="77777777" w:rsidR="00775F65" w:rsidRDefault="00775F65" w:rsidP="00763FA4">
      <w:pPr>
        <w:spacing w:after="0" w:line="240" w:lineRule="auto"/>
      </w:pPr>
      <w:r>
        <w:separator/>
      </w:r>
    </w:p>
  </w:footnote>
  <w:footnote w:type="continuationSeparator" w:id="0">
    <w:p w14:paraId="71CE6869" w14:textId="77777777" w:rsidR="00775F65" w:rsidRDefault="00775F65"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29E952AC" w:rsidR="00462B63" w:rsidRPr="00763FA4" w:rsidRDefault="00462B63"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sidR="00BC665D">
      <w:rPr>
        <w:noProof/>
        <w:lang w:eastAsia="en-GB"/>
      </w:rPr>
      <w:tab/>
    </w:r>
    <w:r w:rsidR="00BC665D" w:rsidRPr="00BC665D">
      <w:rPr>
        <w:noProof/>
        <w:lang w:val="en-US"/>
      </w:rPr>
      <w:drawing>
        <wp:inline distT="0" distB="0" distL="0" distR="0" wp14:anchorId="08E68AF5" wp14:editId="54B374B7">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7051F5AA" w:rsidR="00462B63" w:rsidRDefault="00462B63">
    <w:pPr>
      <w:pStyle w:val="Header"/>
    </w:pPr>
    <w:r>
      <w:rPr>
        <w:noProof/>
        <w:lang w:val="en-US"/>
      </w:rPr>
      <w:drawing>
        <wp:anchor distT="0" distB="0" distL="114300" distR="114300" simplePos="0" relativeHeight="251671552" behindDoc="1" locked="0" layoutInCell="1" allowOverlap="1" wp14:anchorId="2449BA0A" wp14:editId="51E83E0D">
          <wp:simplePos x="0" y="0"/>
          <wp:positionH relativeFrom="column">
            <wp:posOffset>-859155</wp:posOffset>
          </wp:positionH>
          <wp:positionV relativeFrom="paragraph">
            <wp:posOffset>-525780</wp:posOffset>
          </wp:positionV>
          <wp:extent cx="7912100" cy="1003300"/>
          <wp:effectExtent l="0" t="0" r="0" b="635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solidFill>
                    <a:schemeClr val="tx2"/>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418420DB" wp14:editId="001B5BF1">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DE"/>
    <w:multiLevelType w:val="hybridMultilevel"/>
    <w:tmpl w:val="EB0014AE"/>
    <w:lvl w:ilvl="0" w:tplc="D2D4B216">
      <w:start w:val="1"/>
      <w:numFmt w:val="bullet"/>
      <w:lvlText w:val=""/>
      <w:lvlJc w:val="left"/>
      <w:pPr>
        <w:ind w:left="720" w:hanging="360"/>
      </w:pPr>
      <w:rPr>
        <w:rFonts w:ascii="Symbol" w:hAnsi="Symbol" w:hint="default"/>
      </w:rPr>
    </w:lvl>
    <w:lvl w:ilvl="1" w:tplc="8C6205E8">
      <w:start w:val="1"/>
      <w:numFmt w:val="bullet"/>
      <w:lvlText w:val="o"/>
      <w:lvlJc w:val="left"/>
      <w:pPr>
        <w:ind w:left="1440" w:hanging="360"/>
      </w:pPr>
      <w:rPr>
        <w:rFonts w:ascii="Courier New" w:hAnsi="Courier New" w:hint="default"/>
      </w:rPr>
    </w:lvl>
    <w:lvl w:ilvl="2" w:tplc="133655EE">
      <w:start w:val="1"/>
      <w:numFmt w:val="bullet"/>
      <w:lvlText w:val=""/>
      <w:lvlJc w:val="left"/>
      <w:pPr>
        <w:ind w:left="2160" w:hanging="360"/>
      </w:pPr>
      <w:rPr>
        <w:rFonts w:ascii="Wingdings" w:hAnsi="Wingdings" w:hint="default"/>
      </w:rPr>
    </w:lvl>
    <w:lvl w:ilvl="3" w:tplc="ECE24E8E">
      <w:start w:val="1"/>
      <w:numFmt w:val="bullet"/>
      <w:lvlText w:val=""/>
      <w:lvlJc w:val="left"/>
      <w:pPr>
        <w:ind w:left="2880" w:hanging="360"/>
      </w:pPr>
      <w:rPr>
        <w:rFonts w:ascii="Symbol" w:hAnsi="Symbol" w:hint="default"/>
      </w:rPr>
    </w:lvl>
    <w:lvl w:ilvl="4" w:tplc="04F2349A">
      <w:start w:val="1"/>
      <w:numFmt w:val="bullet"/>
      <w:lvlText w:val="o"/>
      <w:lvlJc w:val="left"/>
      <w:pPr>
        <w:ind w:left="3600" w:hanging="360"/>
      </w:pPr>
      <w:rPr>
        <w:rFonts w:ascii="Courier New" w:hAnsi="Courier New" w:hint="default"/>
      </w:rPr>
    </w:lvl>
    <w:lvl w:ilvl="5" w:tplc="71228A52">
      <w:start w:val="1"/>
      <w:numFmt w:val="bullet"/>
      <w:lvlText w:val=""/>
      <w:lvlJc w:val="left"/>
      <w:pPr>
        <w:ind w:left="4320" w:hanging="360"/>
      </w:pPr>
      <w:rPr>
        <w:rFonts w:ascii="Wingdings" w:hAnsi="Wingdings" w:hint="default"/>
      </w:rPr>
    </w:lvl>
    <w:lvl w:ilvl="6" w:tplc="1700DC78">
      <w:start w:val="1"/>
      <w:numFmt w:val="bullet"/>
      <w:lvlText w:val=""/>
      <w:lvlJc w:val="left"/>
      <w:pPr>
        <w:ind w:left="5040" w:hanging="360"/>
      </w:pPr>
      <w:rPr>
        <w:rFonts w:ascii="Symbol" w:hAnsi="Symbol" w:hint="default"/>
      </w:rPr>
    </w:lvl>
    <w:lvl w:ilvl="7" w:tplc="73D07548">
      <w:start w:val="1"/>
      <w:numFmt w:val="bullet"/>
      <w:lvlText w:val="o"/>
      <w:lvlJc w:val="left"/>
      <w:pPr>
        <w:ind w:left="5760" w:hanging="360"/>
      </w:pPr>
      <w:rPr>
        <w:rFonts w:ascii="Courier New" w:hAnsi="Courier New" w:hint="default"/>
      </w:rPr>
    </w:lvl>
    <w:lvl w:ilvl="8" w:tplc="C3E226E2">
      <w:start w:val="1"/>
      <w:numFmt w:val="bullet"/>
      <w:lvlText w:val=""/>
      <w:lvlJc w:val="left"/>
      <w:pPr>
        <w:ind w:left="6480" w:hanging="360"/>
      </w:pPr>
      <w:rPr>
        <w:rFonts w:ascii="Wingdings" w:hAnsi="Wingdings" w:hint="default"/>
      </w:rPr>
    </w:lvl>
  </w:abstractNum>
  <w:abstractNum w:abstractNumId="1" w15:restartNumberingAfterBreak="0">
    <w:nsid w:val="0E4065B9"/>
    <w:multiLevelType w:val="multilevel"/>
    <w:tmpl w:val="EB7C8344"/>
    <w:lvl w:ilvl="0">
      <w:start w:val="1"/>
      <w:numFmt w:val="decimal"/>
      <w:pStyle w:val="Heading2"/>
      <w:lvlText w:val="%1."/>
      <w:lvlJc w:val="left"/>
      <w:pPr>
        <w:ind w:left="720" w:hanging="360"/>
      </w:pPr>
    </w:lvl>
    <w:lvl w:ilvl="1">
      <w:start w:val="1"/>
      <w:numFmt w:val="decimal"/>
      <w:pStyle w:val="Heading3"/>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137564"/>
    <w:multiLevelType w:val="hybridMultilevel"/>
    <w:tmpl w:val="817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1848"/>
    <w:multiLevelType w:val="hybridMultilevel"/>
    <w:tmpl w:val="82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1758"/>
    <w:multiLevelType w:val="hybridMultilevel"/>
    <w:tmpl w:val="C2C801BA"/>
    <w:lvl w:ilvl="0" w:tplc="79227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6505F"/>
    <w:multiLevelType w:val="hybridMultilevel"/>
    <w:tmpl w:val="464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01AB"/>
    <w:multiLevelType w:val="hybridMultilevel"/>
    <w:tmpl w:val="54A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A2551"/>
    <w:multiLevelType w:val="hybridMultilevel"/>
    <w:tmpl w:val="AB1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D1EA5"/>
    <w:multiLevelType w:val="hybridMultilevel"/>
    <w:tmpl w:val="C57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A7D3A"/>
    <w:multiLevelType w:val="hybridMultilevel"/>
    <w:tmpl w:val="F644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2B219F"/>
    <w:multiLevelType w:val="hybridMultilevel"/>
    <w:tmpl w:val="FF701E6E"/>
    <w:lvl w:ilvl="0" w:tplc="491E7056">
      <w:start w:val="1"/>
      <w:numFmt w:val="bullet"/>
      <w:lvlText w:val=""/>
      <w:lvlJc w:val="left"/>
      <w:pPr>
        <w:ind w:left="720" w:hanging="360"/>
      </w:pPr>
      <w:rPr>
        <w:rFonts w:ascii="Symbol" w:hAnsi="Symbol" w:hint="default"/>
        <w:color w:val="C96E07"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21F35"/>
    <w:multiLevelType w:val="hybridMultilevel"/>
    <w:tmpl w:val="D236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13935"/>
    <w:multiLevelType w:val="hybridMultilevel"/>
    <w:tmpl w:val="E98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529AD"/>
    <w:multiLevelType w:val="hybridMultilevel"/>
    <w:tmpl w:val="FD0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43FA5"/>
    <w:multiLevelType w:val="hybridMultilevel"/>
    <w:tmpl w:val="971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52CDE"/>
    <w:multiLevelType w:val="hybridMultilevel"/>
    <w:tmpl w:val="F7EA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EE43AB"/>
    <w:multiLevelType w:val="hybridMultilevel"/>
    <w:tmpl w:val="5B1A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45DC9"/>
    <w:multiLevelType w:val="hybridMultilevel"/>
    <w:tmpl w:val="A9603276"/>
    <w:lvl w:ilvl="0" w:tplc="C1AA4CB8">
      <w:start w:val="1"/>
      <w:numFmt w:val="bullet"/>
      <w:pStyle w:val="ListParagraph"/>
      <w:lvlText w:val=""/>
      <w:lvlJc w:val="left"/>
      <w:pPr>
        <w:ind w:left="53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274E7"/>
    <w:multiLevelType w:val="hybridMultilevel"/>
    <w:tmpl w:val="1C320F56"/>
    <w:lvl w:ilvl="0" w:tplc="EAB6D03E">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8498E"/>
    <w:multiLevelType w:val="hybridMultilevel"/>
    <w:tmpl w:val="F688663A"/>
    <w:lvl w:ilvl="0" w:tplc="40429E4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75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2B3FEF"/>
    <w:multiLevelType w:val="hybridMultilevel"/>
    <w:tmpl w:val="D2D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298A"/>
    <w:multiLevelType w:val="hybridMultilevel"/>
    <w:tmpl w:val="848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87991"/>
    <w:multiLevelType w:val="hybridMultilevel"/>
    <w:tmpl w:val="E48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B5E3C"/>
    <w:multiLevelType w:val="hybridMultilevel"/>
    <w:tmpl w:val="CF7AFB6E"/>
    <w:lvl w:ilvl="0" w:tplc="EF007BC6">
      <w:start w:val="1"/>
      <w:numFmt w:val="bullet"/>
      <w:lvlText w:val=""/>
      <w:lvlJc w:val="left"/>
      <w:pPr>
        <w:ind w:left="1440" w:hanging="360"/>
      </w:pPr>
      <w:rPr>
        <w:rFonts w:ascii="Symbol" w:hAnsi="Symbol" w:hint="default"/>
        <w:color w:val="F373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E5551B"/>
    <w:multiLevelType w:val="hybridMultilevel"/>
    <w:tmpl w:val="506CA2E2"/>
    <w:lvl w:ilvl="0" w:tplc="38B2915C">
      <w:start w:val="1"/>
      <w:numFmt w:val="bullet"/>
      <w:lvlText w:val=""/>
      <w:lvlJc w:val="left"/>
      <w:pPr>
        <w:ind w:left="1004" w:hanging="360"/>
      </w:pPr>
      <w:rPr>
        <w:rFonts w:ascii="Symbol" w:hAnsi="Symbol" w:hint="default"/>
        <w:color w:val="F3732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3C64926"/>
    <w:multiLevelType w:val="hybridMultilevel"/>
    <w:tmpl w:val="F5F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3319F"/>
    <w:multiLevelType w:val="hybridMultilevel"/>
    <w:tmpl w:val="BE8C8472"/>
    <w:lvl w:ilvl="0" w:tplc="491E7056">
      <w:start w:val="1"/>
      <w:numFmt w:val="bullet"/>
      <w:lvlText w:val=""/>
      <w:lvlJc w:val="left"/>
      <w:pPr>
        <w:ind w:left="1440" w:hanging="360"/>
      </w:pPr>
      <w:rPr>
        <w:rFonts w:ascii="Symbol" w:hAnsi="Symbol" w:hint="default"/>
        <w:color w:val="C96E07"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8A2942"/>
    <w:multiLevelType w:val="hybridMultilevel"/>
    <w:tmpl w:val="005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25A42"/>
    <w:multiLevelType w:val="hybridMultilevel"/>
    <w:tmpl w:val="BE0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310B4"/>
    <w:multiLevelType w:val="hybridMultilevel"/>
    <w:tmpl w:val="0C7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5"/>
  </w:num>
  <w:num w:numId="4">
    <w:abstractNumId w:val="17"/>
  </w:num>
  <w:num w:numId="5">
    <w:abstractNumId w:val="27"/>
  </w:num>
  <w:num w:numId="6">
    <w:abstractNumId w:val="12"/>
  </w:num>
  <w:num w:numId="7">
    <w:abstractNumId w:val="22"/>
  </w:num>
  <w:num w:numId="8">
    <w:abstractNumId w:val="2"/>
  </w:num>
  <w:num w:numId="9">
    <w:abstractNumId w:val="30"/>
  </w:num>
  <w:num w:numId="10">
    <w:abstractNumId w:val="20"/>
  </w:num>
  <w:num w:numId="11">
    <w:abstractNumId w:val="9"/>
  </w:num>
  <w:num w:numId="12">
    <w:abstractNumId w:val="15"/>
  </w:num>
  <w:num w:numId="13">
    <w:abstractNumId w:val="23"/>
  </w:num>
  <w:num w:numId="14">
    <w:abstractNumId w:val="8"/>
  </w:num>
  <w:num w:numId="15">
    <w:abstractNumId w:val="10"/>
  </w:num>
  <w:num w:numId="16">
    <w:abstractNumId w:val="3"/>
  </w:num>
  <w:num w:numId="17">
    <w:abstractNumId w:val="5"/>
  </w:num>
  <w:num w:numId="18">
    <w:abstractNumId w:val="29"/>
  </w:num>
  <w:num w:numId="19">
    <w:abstractNumId w:val="4"/>
  </w:num>
  <w:num w:numId="20">
    <w:abstractNumId w:val="11"/>
  </w:num>
  <w:num w:numId="21">
    <w:abstractNumId w:val="6"/>
  </w:num>
  <w:num w:numId="22">
    <w:abstractNumId w:val="16"/>
  </w:num>
  <w:num w:numId="23">
    <w:abstractNumId w:val="14"/>
  </w:num>
  <w:num w:numId="24">
    <w:abstractNumId w:val="28"/>
  </w:num>
  <w:num w:numId="25">
    <w:abstractNumId w:val="26"/>
  </w:num>
  <w:num w:numId="26">
    <w:abstractNumId w:val="7"/>
  </w:num>
  <w:num w:numId="27">
    <w:abstractNumId w:val="0"/>
  </w:num>
  <w:num w:numId="28">
    <w:abstractNumId w:val="21"/>
  </w:num>
  <w:num w:numId="29">
    <w:abstractNumId w:val="1"/>
  </w:num>
  <w:num w:numId="30">
    <w:abstractNumId w:val="18"/>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256ED"/>
    <w:rsid w:val="0003419A"/>
    <w:rsid w:val="00067346"/>
    <w:rsid w:val="00077330"/>
    <w:rsid w:val="0008650A"/>
    <w:rsid w:val="00093621"/>
    <w:rsid w:val="000A3E04"/>
    <w:rsid w:val="000A55BE"/>
    <w:rsid w:val="000D3424"/>
    <w:rsid w:val="000D7DBE"/>
    <w:rsid w:val="000E35B3"/>
    <w:rsid w:val="000E69BA"/>
    <w:rsid w:val="00100C19"/>
    <w:rsid w:val="0010129F"/>
    <w:rsid w:val="00101615"/>
    <w:rsid w:val="00111FF3"/>
    <w:rsid w:val="00113F12"/>
    <w:rsid w:val="00132E60"/>
    <w:rsid w:val="001409FA"/>
    <w:rsid w:val="00143442"/>
    <w:rsid w:val="0016150F"/>
    <w:rsid w:val="0017619C"/>
    <w:rsid w:val="001A1BCF"/>
    <w:rsid w:val="001B12F2"/>
    <w:rsid w:val="001B5930"/>
    <w:rsid w:val="001B70C6"/>
    <w:rsid w:val="001C66EC"/>
    <w:rsid w:val="001E1CB2"/>
    <w:rsid w:val="001E6E78"/>
    <w:rsid w:val="00207133"/>
    <w:rsid w:val="00214D4F"/>
    <w:rsid w:val="002239E7"/>
    <w:rsid w:val="00240B63"/>
    <w:rsid w:val="00240D1F"/>
    <w:rsid w:val="00245ED4"/>
    <w:rsid w:val="002463BF"/>
    <w:rsid w:val="00263CF5"/>
    <w:rsid w:val="00272227"/>
    <w:rsid w:val="0027312C"/>
    <w:rsid w:val="002769BC"/>
    <w:rsid w:val="00287729"/>
    <w:rsid w:val="002A2301"/>
    <w:rsid w:val="002B1EE2"/>
    <w:rsid w:val="002B28D7"/>
    <w:rsid w:val="002D1893"/>
    <w:rsid w:val="002D35C9"/>
    <w:rsid w:val="002D5240"/>
    <w:rsid w:val="002D6205"/>
    <w:rsid w:val="002E3061"/>
    <w:rsid w:val="002E5F5E"/>
    <w:rsid w:val="002E71FD"/>
    <w:rsid w:val="002F0B7B"/>
    <w:rsid w:val="00301C5E"/>
    <w:rsid w:val="003164B8"/>
    <w:rsid w:val="00325DE8"/>
    <w:rsid w:val="0032708E"/>
    <w:rsid w:val="00341339"/>
    <w:rsid w:val="003424E0"/>
    <w:rsid w:val="0035483D"/>
    <w:rsid w:val="00366030"/>
    <w:rsid w:val="00381C86"/>
    <w:rsid w:val="003976A9"/>
    <w:rsid w:val="003B21D5"/>
    <w:rsid w:val="003B3E43"/>
    <w:rsid w:val="003B77B0"/>
    <w:rsid w:val="003C6392"/>
    <w:rsid w:val="003D0307"/>
    <w:rsid w:val="003D47D2"/>
    <w:rsid w:val="003E3283"/>
    <w:rsid w:val="003E5E71"/>
    <w:rsid w:val="00403516"/>
    <w:rsid w:val="00422732"/>
    <w:rsid w:val="00425C9B"/>
    <w:rsid w:val="0045292A"/>
    <w:rsid w:val="0046043E"/>
    <w:rsid w:val="00462B63"/>
    <w:rsid w:val="004705EF"/>
    <w:rsid w:val="00480B5B"/>
    <w:rsid w:val="0048299E"/>
    <w:rsid w:val="004839D0"/>
    <w:rsid w:val="00485800"/>
    <w:rsid w:val="004918E2"/>
    <w:rsid w:val="0049469E"/>
    <w:rsid w:val="004A44E9"/>
    <w:rsid w:val="004A70DC"/>
    <w:rsid w:val="004B0358"/>
    <w:rsid w:val="004B17DE"/>
    <w:rsid w:val="004E06FA"/>
    <w:rsid w:val="004F0CB2"/>
    <w:rsid w:val="004F5462"/>
    <w:rsid w:val="004F6F21"/>
    <w:rsid w:val="0050180A"/>
    <w:rsid w:val="00522760"/>
    <w:rsid w:val="00525B78"/>
    <w:rsid w:val="0053127D"/>
    <w:rsid w:val="0053413D"/>
    <w:rsid w:val="00534CC3"/>
    <w:rsid w:val="0054015F"/>
    <w:rsid w:val="00541405"/>
    <w:rsid w:val="0054255B"/>
    <w:rsid w:val="0056188E"/>
    <w:rsid w:val="00566132"/>
    <w:rsid w:val="0059650F"/>
    <w:rsid w:val="005C186A"/>
    <w:rsid w:val="005C1DCE"/>
    <w:rsid w:val="005C6767"/>
    <w:rsid w:val="005E194C"/>
    <w:rsid w:val="005E4B0D"/>
    <w:rsid w:val="005F2C2E"/>
    <w:rsid w:val="005F5647"/>
    <w:rsid w:val="00600920"/>
    <w:rsid w:val="006134F6"/>
    <w:rsid w:val="00643F14"/>
    <w:rsid w:val="00644C4C"/>
    <w:rsid w:val="00652EE3"/>
    <w:rsid w:val="00660D7D"/>
    <w:rsid w:val="00662A4E"/>
    <w:rsid w:val="00676B31"/>
    <w:rsid w:val="00687C8B"/>
    <w:rsid w:val="00697287"/>
    <w:rsid w:val="006A1750"/>
    <w:rsid w:val="006A18F8"/>
    <w:rsid w:val="006A4655"/>
    <w:rsid w:val="006B0EEC"/>
    <w:rsid w:val="006C2FB9"/>
    <w:rsid w:val="006D088E"/>
    <w:rsid w:val="006D601C"/>
    <w:rsid w:val="006F63EE"/>
    <w:rsid w:val="006F66BB"/>
    <w:rsid w:val="007106CD"/>
    <w:rsid w:val="00742A78"/>
    <w:rsid w:val="007475F9"/>
    <w:rsid w:val="00747761"/>
    <w:rsid w:val="00747BE2"/>
    <w:rsid w:val="00756285"/>
    <w:rsid w:val="00756A2E"/>
    <w:rsid w:val="00763FA4"/>
    <w:rsid w:val="007672D0"/>
    <w:rsid w:val="00773A92"/>
    <w:rsid w:val="00775F65"/>
    <w:rsid w:val="00793E95"/>
    <w:rsid w:val="00794A9C"/>
    <w:rsid w:val="007A5901"/>
    <w:rsid w:val="007A6293"/>
    <w:rsid w:val="007B7467"/>
    <w:rsid w:val="007C7A85"/>
    <w:rsid w:val="007D5A22"/>
    <w:rsid w:val="007D7C28"/>
    <w:rsid w:val="007E4014"/>
    <w:rsid w:val="007F4166"/>
    <w:rsid w:val="007F494D"/>
    <w:rsid w:val="008119B0"/>
    <w:rsid w:val="008363C3"/>
    <w:rsid w:val="008364C6"/>
    <w:rsid w:val="00836FAB"/>
    <w:rsid w:val="00840537"/>
    <w:rsid w:val="00845F55"/>
    <w:rsid w:val="0085185B"/>
    <w:rsid w:val="0085701A"/>
    <w:rsid w:val="008622B5"/>
    <w:rsid w:val="00896AEC"/>
    <w:rsid w:val="008A359A"/>
    <w:rsid w:val="008B1FDF"/>
    <w:rsid w:val="008C162F"/>
    <w:rsid w:val="008D0D48"/>
    <w:rsid w:val="008D4DDA"/>
    <w:rsid w:val="008E3675"/>
    <w:rsid w:val="008F080E"/>
    <w:rsid w:val="008F2C66"/>
    <w:rsid w:val="009034D6"/>
    <w:rsid w:val="00903C3A"/>
    <w:rsid w:val="00913FA7"/>
    <w:rsid w:val="00917636"/>
    <w:rsid w:val="0092735B"/>
    <w:rsid w:val="009311A4"/>
    <w:rsid w:val="009376E4"/>
    <w:rsid w:val="00941506"/>
    <w:rsid w:val="00951C5F"/>
    <w:rsid w:val="0096519F"/>
    <w:rsid w:val="009708D0"/>
    <w:rsid w:val="00973173"/>
    <w:rsid w:val="00974F62"/>
    <w:rsid w:val="00975161"/>
    <w:rsid w:val="00982CDC"/>
    <w:rsid w:val="00990562"/>
    <w:rsid w:val="00992697"/>
    <w:rsid w:val="00997D26"/>
    <w:rsid w:val="009A2B6C"/>
    <w:rsid w:val="009B2632"/>
    <w:rsid w:val="009D3803"/>
    <w:rsid w:val="009E0518"/>
    <w:rsid w:val="009F1480"/>
    <w:rsid w:val="009F38D2"/>
    <w:rsid w:val="009F424A"/>
    <w:rsid w:val="009F6B0B"/>
    <w:rsid w:val="00A01207"/>
    <w:rsid w:val="00A04071"/>
    <w:rsid w:val="00A04492"/>
    <w:rsid w:val="00A063C6"/>
    <w:rsid w:val="00A3376E"/>
    <w:rsid w:val="00A63240"/>
    <w:rsid w:val="00A7112C"/>
    <w:rsid w:val="00A74166"/>
    <w:rsid w:val="00A92937"/>
    <w:rsid w:val="00A97CDC"/>
    <w:rsid w:val="00AB49E0"/>
    <w:rsid w:val="00AC1C7B"/>
    <w:rsid w:val="00AD3EAD"/>
    <w:rsid w:val="00AF7FCB"/>
    <w:rsid w:val="00B0371D"/>
    <w:rsid w:val="00B314EF"/>
    <w:rsid w:val="00B36391"/>
    <w:rsid w:val="00B42790"/>
    <w:rsid w:val="00B71EBF"/>
    <w:rsid w:val="00B740D1"/>
    <w:rsid w:val="00B7653F"/>
    <w:rsid w:val="00B81D63"/>
    <w:rsid w:val="00B91F25"/>
    <w:rsid w:val="00BB249A"/>
    <w:rsid w:val="00BB4727"/>
    <w:rsid w:val="00BB5A9C"/>
    <w:rsid w:val="00BC665D"/>
    <w:rsid w:val="00BE3686"/>
    <w:rsid w:val="00BE78C4"/>
    <w:rsid w:val="00BF5640"/>
    <w:rsid w:val="00BF72B0"/>
    <w:rsid w:val="00C0107A"/>
    <w:rsid w:val="00C022C8"/>
    <w:rsid w:val="00C04256"/>
    <w:rsid w:val="00C21646"/>
    <w:rsid w:val="00C2544F"/>
    <w:rsid w:val="00C26C1B"/>
    <w:rsid w:val="00C40D9C"/>
    <w:rsid w:val="00C514BD"/>
    <w:rsid w:val="00C57B83"/>
    <w:rsid w:val="00C97C97"/>
    <w:rsid w:val="00CA644F"/>
    <w:rsid w:val="00CB7C54"/>
    <w:rsid w:val="00CC645D"/>
    <w:rsid w:val="00CD0668"/>
    <w:rsid w:val="00CD3CAB"/>
    <w:rsid w:val="00CF4390"/>
    <w:rsid w:val="00D03054"/>
    <w:rsid w:val="00D15A65"/>
    <w:rsid w:val="00D25D04"/>
    <w:rsid w:val="00D30F7E"/>
    <w:rsid w:val="00D31E6E"/>
    <w:rsid w:val="00D31FEE"/>
    <w:rsid w:val="00D342B8"/>
    <w:rsid w:val="00D35A92"/>
    <w:rsid w:val="00D439D0"/>
    <w:rsid w:val="00D44323"/>
    <w:rsid w:val="00D81270"/>
    <w:rsid w:val="00D9612B"/>
    <w:rsid w:val="00DA7011"/>
    <w:rsid w:val="00DA7250"/>
    <w:rsid w:val="00DA76FC"/>
    <w:rsid w:val="00DB253A"/>
    <w:rsid w:val="00DB2C59"/>
    <w:rsid w:val="00DD320F"/>
    <w:rsid w:val="00DD4B53"/>
    <w:rsid w:val="00DD4DB7"/>
    <w:rsid w:val="00E26340"/>
    <w:rsid w:val="00E62938"/>
    <w:rsid w:val="00E62BEA"/>
    <w:rsid w:val="00E7069F"/>
    <w:rsid w:val="00EA194C"/>
    <w:rsid w:val="00EA2115"/>
    <w:rsid w:val="00EC6445"/>
    <w:rsid w:val="00EC7CD6"/>
    <w:rsid w:val="00ED59A4"/>
    <w:rsid w:val="00EE769D"/>
    <w:rsid w:val="00F00C3F"/>
    <w:rsid w:val="00F10EC0"/>
    <w:rsid w:val="00F11A6A"/>
    <w:rsid w:val="00F25CF7"/>
    <w:rsid w:val="00F357C5"/>
    <w:rsid w:val="00F4051C"/>
    <w:rsid w:val="00F42B38"/>
    <w:rsid w:val="00F506EC"/>
    <w:rsid w:val="00F55939"/>
    <w:rsid w:val="00F74E79"/>
    <w:rsid w:val="00F8436C"/>
    <w:rsid w:val="00F847D4"/>
    <w:rsid w:val="00F9302D"/>
    <w:rsid w:val="00FB7D59"/>
    <w:rsid w:val="00FC3491"/>
    <w:rsid w:val="00FC495A"/>
    <w:rsid w:val="00FD01F1"/>
    <w:rsid w:val="00FD5F6E"/>
    <w:rsid w:val="00FD7E76"/>
    <w:rsid w:val="00FF5E5E"/>
    <w:rsid w:val="70CA1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0120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422732"/>
    <w:pPr>
      <w:keepNext/>
      <w:keepLines/>
      <w:spacing w:after="0"/>
      <w:outlineLvl w:val="0"/>
    </w:pPr>
    <w:rPr>
      <w:rFonts w:eastAsia="MS Mincho"/>
      <w:caps/>
      <w:sz w:val="36"/>
      <w:szCs w:val="36"/>
    </w:rPr>
  </w:style>
  <w:style w:type="paragraph" w:styleId="Heading2">
    <w:name w:val="heading 2"/>
    <w:aliases w:val="Sub Heading"/>
    <w:basedOn w:val="Normal"/>
    <w:next w:val="Normal"/>
    <w:link w:val="Heading2Char"/>
    <w:uiPriority w:val="9"/>
    <w:unhideWhenUsed/>
    <w:qFormat/>
    <w:rsid w:val="000D3424"/>
    <w:pPr>
      <w:keepNext/>
      <w:keepLines/>
      <w:numPr>
        <w:numId w:val="29"/>
      </w:numPr>
      <w:ind w:left="357" w:hanging="357"/>
      <w:outlineLvl w:val="1"/>
    </w:pPr>
    <w:rPr>
      <w:rFonts w:eastAsia="MS Mincho"/>
      <w:b/>
      <w:color w:val="F79220"/>
      <w:sz w:val="28"/>
      <w:szCs w:val="32"/>
    </w:rPr>
  </w:style>
  <w:style w:type="paragraph" w:styleId="Heading3">
    <w:name w:val="heading 3"/>
    <w:basedOn w:val="Normal"/>
    <w:next w:val="Normal"/>
    <w:link w:val="Heading3Char"/>
    <w:autoRedefine/>
    <w:uiPriority w:val="9"/>
    <w:unhideWhenUsed/>
    <w:qFormat/>
    <w:rsid w:val="000D3424"/>
    <w:pPr>
      <w:keepNext/>
      <w:keepLines/>
      <w:numPr>
        <w:ilvl w:val="1"/>
        <w:numId w:val="29"/>
      </w:numPr>
      <w:spacing w:before="200" w:after="0"/>
      <w:ind w:left="426" w:hanging="426"/>
      <w:jc w:val="left"/>
      <w:outlineLvl w:val="2"/>
    </w:pPr>
    <w:rPr>
      <w:rFonts w:eastAsia="MS Mincho" w:cs="Arial"/>
      <w:b/>
      <w:color w:val="F79220"/>
      <w:szCs w:val="24"/>
    </w:rPr>
  </w:style>
  <w:style w:type="paragraph" w:styleId="Heading4">
    <w:name w:val="heading 4"/>
    <w:basedOn w:val="Normal"/>
    <w:next w:val="Normal"/>
    <w:link w:val="Heading4Char"/>
    <w:uiPriority w:val="9"/>
    <w:unhideWhenUsed/>
    <w:qFormat/>
    <w:rsid w:val="00422732"/>
    <w:pPr>
      <w:keepNext/>
      <w:keepLines/>
      <w:spacing w:before="200" w:after="0"/>
      <w:outlineLvl w:val="3"/>
    </w:pPr>
    <w:rPr>
      <w:rFonts w:eastAsia="MS Mincho"/>
      <w:caps/>
      <w:color w:val="565A5C"/>
      <w:sz w:val="22"/>
      <w:szCs w:val="22"/>
    </w:rPr>
  </w:style>
  <w:style w:type="paragraph" w:styleId="Heading5">
    <w:name w:val="heading 5"/>
    <w:aliases w:val="CTA Heading"/>
    <w:basedOn w:val="Normal"/>
    <w:next w:val="Normal"/>
    <w:link w:val="Heading5Char"/>
    <w:uiPriority w:val="9"/>
    <w:unhideWhenUsed/>
    <w:qFormat/>
    <w:rsid w:val="00422732"/>
    <w:pPr>
      <w:keepNext/>
      <w:keepLines/>
      <w:spacing w:before="200" w:after="0"/>
      <w:outlineLvl w:val="4"/>
    </w:pPr>
    <w:rPr>
      <w:rFonts w:eastAsia="MS Mincho"/>
      <w:caps/>
      <w:color w:val="69BE28"/>
      <w:sz w:val="22"/>
      <w:szCs w:val="22"/>
    </w:rPr>
  </w:style>
  <w:style w:type="paragraph" w:styleId="Heading6">
    <w:name w:val="heading 6"/>
    <w:aliases w:val="INFO Heading"/>
    <w:basedOn w:val="Normal"/>
    <w:next w:val="Normal"/>
    <w:link w:val="Heading6Char"/>
    <w:uiPriority w:val="9"/>
    <w:unhideWhenUsed/>
    <w:qFormat/>
    <w:rsid w:val="002D5240"/>
    <w:pPr>
      <w:keepNext/>
      <w:keepLines/>
      <w:spacing w:before="200" w:after="0"/>
      <w:outlineLvl w:val="5"/>
    </w:pPr>
    <w:rPr>
      <w:rFonts w:eastAsia="MS Mincho"/>
      <w:caps/>
      <w:color w:val="00A9E0"/>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422732"/>
    <w:rPr>
      <w:rFonts w:ascii="Arial" w:eastAsia="MS Mincho" w:hAnsi="Arial"/>
      <w:caps/>
      <w:color w:val="1E1E1E"/>
      <w:sz w:val="36"/>
      <w:szCs w:val="36"/>
    </w:rPr>
  </w:style>
  <w:style w:type="character" w:customStyle="1" w:styleId="Heading2Char">
    <w:name w:val="Heading 2 Char"/>
    <w:aliases w:val="Sub Heading Char"/>
    <w:link w:val="Heading2"/>
    <w:uiPriority w:val="9"/>
    <w:rsid w:val="000D3424"/>
    <w:rPr>
      <w:rFonts w:ascii="Arial" w:eastAsia="MS Mincho" w:hAnsi="Arial"/>
      <w:b/>
      <w:color w:val="F79220"/>
      <w:sz w:val="28"/>
      <w:szCs w:val="32"/>
    </w:rPr>
  </w:style>
  <w:style w:type="character" w:customStyle="1" w:styleId="Heading3Char">
    <w:name w:val="Heading 3 Char"/>
    <w:link w:val="Heading3"/>
    <w:uiPriority w:val="9"/>
    <w:rsid w:val="000D3424"/>
    <w:rPr>
      <w:rFonts w:ascii="Arial" w:eastAsia="MS Mincho" w:hAnsi="Arial" w:cs="Arial"/>
      <w:b/>
      <w:color w:val="F79220"/>
      <w:szCs w:val="24"/>
    </w:rPr>
  </w:style>
  <w:style w:type="character" w:customStyle="1" w:styleId="Heading4Char">
    <w:name w:val="Heading 4 Char"/>
    <w:link w:val="Heading4"/>
    <w:uiPriority w:val="9"/>
    <w:rsid w:val="00422732"/>
    <w:rPr>
      <w:rFonts w:ascii="Arial" w:eastAsia="MS Mincho" w:hAnsi="Arial"/>
      <w:caps/>
      <w:color w:val="565A5C"/>
      <w:sz w:val="22"/>
      <w:szCs w:val="22"/>
    </w:rPr>
  </w:style>
  <w:style w:type="character" w:customStyle="1" w:styleId="Heading5Char">
    <w:name w:val="Heading 5 Char"/>
    <w:aliases w:val="CTA Heading Char"/>
    <w:link w:val="Heading5"/>
    <w:uiPriority w:val="9"/>
    <w:rsid w:val="00422732"/>
    <w:rPr>
      <w:rFonts w:ascii="Arial" w:eastAsia="MS Mincho" w:hAnsi="Arial"/>
      <w:caps/>
      <w:color w:val="69BE28"/>
      <w:sz w:val="22"/>
      <w:szCs w:val="22"/>
    </w:rPr>
  </w:style>
  <w:style w:type="character" w:customStyle="1" w:styleId="Heading6Char">
    <w:name w:val="Heading 6 Char"/>
    <w:aliases w:val="INFO Heading Char"/>
    <w:link w:val="Heading6"/>
    <w:uiPriority w:val="9"/>
    <w:rsid w:val="002D5240"/>
    <w:rPr>
      <w:rFonts w:ascii="Arial" w:eastAsia="MS Mincho" w:hAnsi="Arial" w:cs="Times New Roman"/>
      <w:caps/>
      <w:color w:val="00A9E0"/>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422732"/>
    <w:pPr>
      <w:ind w:right="496"/>
      <w:jc w:val="right"/>
    </w:pPr>
    <w:rPr>
      <w:rFonts w:eastAsia="MS Mincho"/>
      <w:caps/>
      <w:color w:val="F45206"/>
      <w:spacing w:val="10"/>
      <w:kern w:val="28"/>
      <w:sz w:val="28"/>
      <w:szCs w:val="28"/>
      <w:lang w:val="en-US" w:bidi="en-US"/>
    </w:rPr>
  </w:style>
  <w:style w:type="character" w:customStyle="1" w:styleId="TitleChar">
    <w:name w:val="Title Char"/>
    <w:aliases w:val="Main Sub Title Char"/>
    <w:link w:val="Title"/>
    <w:uiPriority w:val="10"/>
    <w:rsid w:val="00422732"/>
    <w:rPr>
      <w:rFonts w:ascii="Arial" w:eastAsia="MS Mincho" w:hAnsi="Arial"/>
      <w:caps/>
      <w:color w:val="F45206"/>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422732"/>
    <w:pPr>
      <w:tabs>
        <w:tab w:val="clear" w:pos="4513"/>
        <w:tab w:val="clear" w:pos="6663"/>
        <w:tab w:val="clear" w:pos="9072"/>
      </w:tabs>
      <w:ind w:right="543"/>
      <w:jc w:val="left"/>
    </w:pPr>
    <w:rPr>
      <w:sz w:val="40"/>
      <w:szCs w:val="40"/>
    </w:rPr>
  </w:style>
  <w:style w:type="character" w:styleId="SubtleEmphasis">
    <w:name w:val="Subtle Emphasis"/>
    <w:uiPriority w:val="19"/>
    <w:qFormat/>
    <w:rsid w:val="002D5240"/>
    <w:rPr>
      <w:rFonts w:ascii="Arial" w:hAnsi="Arial"/>
      <w:b w:val="0"/>
      <w:bCs w:val="0"/>
      <w:i w:val="0"/>
      <w:iCs w:val="0"/>
      <w:color w:val="8E908F"/>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FD5F6E"/>
    <w:rPr>
      <w:rFonts w:ascii="Arial" w:hAnsi="Arial"/>
      <w:b/>
      <w:bCs/>
      <w:i/>
      <w:iCs/>
      <w:color w:val="F45206"/>
      <w:sz w:val="20"/>
      <w:szCs w:val="20"/>
    </w:rPr>
  </w:style>
  <w:style w:type="character" w:styleId="Emphasis">
    <w:name w:val="Emphasis"/>
    <w:uiPriority w:val="20"/>
    <w:qFormat/>
    <w:rsid w:val="00FD5F6E"/>
    <w:rPr>
      <w:rFonts w:ascii="Arial" w:hAnsi="Arial"/>
      <w:b/>
      <w:bCs/>
      <w:i/>
      <w:iCs/>
      <w:color w:val="1E1E1E"/>
      <w:sz w:val="20"/>
      <w:szCs w:val="20"/>
    </w:rPr>
  </w:style>
  <w:style w:type="character" w:styleId="Strong">
    <w:name w:val="Strong"/>
    <w:uiPriority w:val="22"/>
    <w:qFormat/>
    <w:rsid w:val="00FD5F6E"/>
    <w:rPr>
      <w:rFonts w:ascii="Arial" w:hAnsi="Arial"/>
      <w:b/>
      <w:bCs/>
      <w:i w:val="0"/>
      <w:iCs w:val="0"/>
      <w:color w:val="1E1E1E"/>
      <w:sz w:val="20"/>
      <w:szCs w:val="20"/>
    </w:rPr>
  </w:style>
  <w:style w:type="paragraph" w:styleId="ListParagraph">
    <w:name w:val="List Paragraph"/>
    <w:basedOn w:val="Normal"/>
    <w:autoRedefine/>
    <w:uiPriority w:val="34"/>
    <w:qFormat/>
    <w:rsid w:val="00982CDC"/>
    <w:pPr>
      <w:numPr>
        <w:numId w:val="4"/>
      </w:numPr>
      <w:spacing w:after="100" w:afterAutospacing="1" w:line="240" w:lineRule="auto"/>
      <w:contextualSpacing/>
    </w:p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988901098">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pport@node4.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
      <w:docPartPr>
        <w:name w:val="50427EA1CB3D4A8D99CDDA77AE5C2155"/>
        <w:category>
          <w:name w:val="General"/>
          <w:gallery w:val="placeholder"/>
        </w:category>
        <w:types>
          <w:type w:val="bbPlcHdr"/>
        </w:types>
        <w:behaviors>
          <w:behavior w:val="content"/>
        </w:behaviors>
        <w:guid w:val="{001D6C59-969B-4A65-ACB6-7167BC2D6746}"/>
      </w:docPartPr>
      <w:docPartBody>
        <w:p w:rsidR="00F06089" w:rsidRDefault="00841D31" w:rsidP="00841D31">
          <w:pPr>
            <w:pStyle w:val="50427EA1CB3D4A8D99CDDA77AE5C2155"/>
          </w:pPr>
          <w:r w:rsidRPr="00A050CA">
            <w:rPr>
              <w:rStyle w:val="PlaceholderText"/>
            </w:rPr>
            <w:t>[Title]</w:t>
          </w:r>
        </w:p>
      </w:docPartBody>
    </w:docPart>
    <w:docPart>
      <w:docPartPr>
        <w:name w:val="C3FE86D5B5754E4B8C26B5E0BE22EB98"/>
        <w:category>
          <w:name w:val="General"/>
          <w:gallery w:val="placeholder"/>
        </w:category>
        <w:types>
          <w:type w:val="bbPlcHdr"/>
        </w:types>
        <w:behaviors>
          <w:behavior w:val="content"/>
        </w:behaviors>
        <w:guid w:val="{BD930396-4CFB-4B4B-8495-2A95CEBA75D9}"/>
      </w:docPartPr>
      <w:docPartBody>
        <w:p w:rsidR="00F06089" w:rsidRDefault="00841D31" w:rsidP="00841D31">
          <w:pPr>
            <w:pStyle w:val="C3FE86D5B5754E4B8C26B5E0BE22EB98"/>
          </w:pPr>
          <w:r w:rsidRPr="00BA3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E0A90"/>
    <w:rsid w:val="0010192B"/>
    <w:rsid w:val="00334432"/>
    <w:rsid w:val="003E59FD"/>
    <w:rsid w:val="005452A0"/>
    <w:rsid w:val="005B2B97"/>
    <w:rsid w:val="005F0431"/>
    <w:rsid w:val="00696A96"/>
    <w:rsid w:val="006F10E0"/>
    <w:rsid w:val="00722F26"/>
    <w:rsid w:val="0078585B"/>
    <w:rsid w:val="007B54ED"/>
    <w:rsid w:val="00806338"/>
    <w:rsid w:val="00813036"/>
    <w:rsid w:val="00841D31"/>
    <w:rsid w:val="008E3376"/>
    <w:rsid w:val="009133BD"/>
    <w:rsid w:val="00944D2B"/>
    <w:rsid w:val="009C43D0"/>
    <w:rsid w:val="00A02BF8"/>
    <w:rsid w:val="00A41E6A"/>
    <w:rsid w:val="00BA4D88"/>
    <w:rsid w:val="00BF46B4"/>
    <w:rsid w:val="00C35C4B"/>
    <w:rsid w:val="00C731DC"/>
    <w:rsid w:val="00C81B49"/>
    <w:rsid w:val="00CF172E"/>
    <w:rsid w:val="00DE4A05"/>
    <w:rsid w:val="00EC22CB"/>
    <w:rsid w:val="00F06089"/>
    <w:rsid w:val="00F233D0"/>
    <w:rsid w:val="00F724B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D31"/>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2017-07-28T00:00:00</PublishDate>
  <Abstract/>
  <CompanyAddress/>
  <CompanyPhone/>
  <CompanyFax/>
  <CompanyEmail/>
</CoverPageProperties>
</file>

<file path=customXml/item2.xml><root xmlns="Document Category">
  <Type name="Technical">Report</Type>
  <Type name="White"/>
  <Type name="Manual"/>
  <Type name="Report"/>
</root>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389E2DED1B38B4BB88FD97126A2B45B" ma:contentTypeVersion="6" ma:contentTypeDescription="Create a new document." ma:contentTypeScope="" ma:versionID="b745304ce58c0136bc4db6620f547312">
  <xsd:schema xmlns:xsd="http://www.w3.org/2001/XMLSchema" xmlns:xs="http://www.w3.org/2001/XMLSchema" xmlns:p="http://schemas.microsoft.com/office/2006/metadata/properties" xmlns:ns2="7fe8fd24-7d93-4bcd-b7ce-a7318fdba429" xmlns:ns3="http://schemas.microsoft.com/sharepoint/v3/fields" targetNamespace="http://schemas.microsoft.com/office/2006/metadata/properties" ma:root="true" ma:fieldsID="dbbae68d26dc80469accde09b3dec3e9" ns2:_="" ns3:_="">
    <xsd:import namespace="7fe8fd24-7d93-4bcd-b7ce-a7318fdba42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fd24-7d93-4bcd-b7ce-a7318fdba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Status Not Set" ma:format="Dropdown" ma:internalName="_Status">
      <xsd:simpleType>
        <xsd:union memberTypes="dms:Text">
          <xsd:simpleType>
            <xsd:restriction base="dms:Choice">
              <xsd:enumeration value="Status Not Set"/>
              <xsd:enumeration value="Not Started"/>
              <xsd:enumeration value="Draft"/>
              <xsd:enumeration value="Final Draft"/>
              <xsd:enumeration value="Active"/>
              <xsd:enumeration value="Review Required"/>
              <xsd:enumeration value="Review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root xmlns="Security Type">
  <Security name="Highly Confidential">Public</Security>
  <Security name="Confidential"/>
  <Security name="Internal Use only"/>
  <Security name="Confidential"/>
</root>
</file>

<file path=customXml/item7.xml><?xml version="1.0" encoding="utf-8"?>
<root>
</root>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7D58F3-D782-4C0F-A953-9EC005021CBF}">
  <ds:schemaRefs>
    <ds:schemaRef ds:uri="Document Category"/>
  </ds:schemaRefs>
</ds:datastoreItem>
</file>

<file path=customXml/itemProps3.xml><?xml version="1.0" encoding="utf-8"?>
<ds:datastoreItem xmlns:ds="http://schemas.openxmlformats.org/officeDocument/2006/customXml" ds:itemID="{B5E28B12-6E65-44C9-B47B-305618ED430F}">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7fe8fd24-7d93-4bcd-b7ce-a7318fdba429"/>
    <ds:schemaRef ds:uri="http://www.w3.org/XML/1998/namespace"/>
    <ds:schemaRef ds:uri="http://purl.org/dc/dcmitype/"/>
  </ds:schemaRefs>
</ds:datastoreItem>
</file>

<file path=customXml/itemProps4.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5.xml><?xml version="1.0" encoding="utf-8"?>
<ds:datastoreItem xmlns:ds="http://schemas.openxmlformats.org/officeDocument/2006/customXml" ds:itemID="{2E31E603-7307-49B9-8A74-CB30C919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8fd24-7d93-4bcd-b7ce-a7318fdba42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0260BB-1140-42BD-B14A-DF7052E49D72}">
  <ds:schemaRefs>
    <ds:schemaRef ds:uri="Security Type"/>
  </ds:schemaRefs>
</ds:datastoreItem>
</file>

<file path=customXml/itemProps7.xml><?xml version="1.0" encoding="utf-8"?>
<ds:datastoreItem xmlns:ds="http://schemas.openxmlformats.org/officeDocument/2006/customXml" ds:itemID="{526B576B-DEB9-4B76-979D-257E86ABCAAB}">
  <ds:schemaRefs/>
</ds:datastoreItem>
</file>

<file path=customXml/itemProps8.xml><?xml version="1.0" encoding="utf-8"?>
<ds:datastoreItem xmlns:ds="http://schemas.openxmlformats.org/officeDocument/2006/customXml" ds:itemID="{C43FC347-F565-49C2-AA48-168C67E9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3331</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Schedule document</vt:lpstr>
    </vt:vector>
  </TitlesOfParts>
  <Company>Node4 limited</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Disaster Recovery as a Service (DRAAS)</dc:subject>
  <dc:creator>Dominic Kerr-Delworth</dc:creator>
  <cp:keywords/>
  <dc:description/>
  <cp:lastModifiedBy>Andy Cresswell</cp:lastModifiedBy>
  <cp:revision>4</cp:revision>
  <cp:lastPrinted>2016-04-22T07:49:00Z</cp:lastPrinted>
  <dcterms:created xsi:type="dcterms:W3CDTF">2018-11-08T10:54:00Z</dcterms:created>
  <dcterms:modified xsi:type="dcterms:W3CDTF">2018-11-08T10:58:00Z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0x0101002389E2DED1B38B4BB88FD97126A2B45B</vt:lpwstr>
  </property>
</Properties>
</file>