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9404B" w14:textId="7B76B7F3" w:rsidR="0050180A" w:rsidRDefault="00AF7FCB" w:rsidP="00A01207">
      <w:pPr>
        <w:rPr>
          <w:rStyle w:val="N4TitleChar"/>
        </w:rPr>
      </w:pPr>
      <w:r>
        <w:rPr>
          <w:rStyle w:val="N4TitleChar"/>
        </w:rPr>
        <w:softHyphen/>
      </w:r>
    </w:p>
    <w:p w14:paraId="6A143511" w14:textId="353D758D" w:rsidR="0050180A" w:rsidRDefault="0050180A" w:rsidP="00903C3A">
      <w:pPr>
        <w:ind w:right="543"/>
        <w:jc w:val="right"/>
        <w:rPr>
          <w:rStyle w:val="N4TitleChar"/>
        </w:rPr>
      </w:pPr>
    </w:p>
    <w:p w14:paraId="2444B361" w14:textId="0F25D52A" w:rsidR="00F357C5" w:rsidRDefault="00F357C5" w:rsidP="00903C3A">
      <w:pPr>
        <w:ind w:right="543"/>
        <w:jc w:val="right"/>
        <w:rPr>
          <w:rStyle w:val="N4TitleChar"/>
        </w:rPr>
      </w:pPr>
    </w:p>
    <w:p w14:paraId="7AA260C8" w14:textId="6EAFF5A8" w:rsidR="00FD01F1" w:rsidRPr="00403516" w:rsidRDefault="00FD01F1" w:rsidP="00747BE2">
      <w:pPr>
        <w:pStyle w:val="MainTitle"/>
        <w:rPr>
          <w:rStyle w:val="N4TitleChar"/>
          <w:rFonts w:cs="Arial"/>
        </w:rPr>
      </w:pPr>
    </w:p>
    <w:p w14:paraId="42B64272" w14:textId="6FFCF101" w:rsidR="00A04071" w:rsidRDefault="00A04071" w:rsidP="00600920">
      <w:pPr>
        <w:pStyle w:val="Heading1"/>
      </w:pPr>
    </w:p>
    <w:p w14:paraId="16779AF1" w14:textId="591B7056" w:rsidR="00A04071" w:rsidRDefault="00BC665D">
      <w:pPr>
        <w:spacing w:after="0" w:line="240" w:lineRule="auto"/>
        <w:rPr>
          <w:rFonts w:eastAsia="MS Mincho"/>
          <w:caps/>
          <w:sz w:val="36"/>
          <w:szCs w:val="36"/>
        </w:rPr>
      </w:pPr>
      <w:r w:rsidRPr="00BC665D">
        <w:rPr>
          <w:noProof/>
          <w:lang w:val="en-US"/>
        </w:rPr>
        <w:drawing>
          <wp:anchor distT="0" distB="0" distL="114300" distR="114300" simplePos="0" relativeHeight="251655680" behindDoc="0" locked="0" layoutInCell="1" allowOverlap="1" wp14:anchorId="166D0586" wp14:editId="38CE3030">
            <wp:simplePos x="0" y="0"/>
            <wp:positionH relativeFrom="margin">
              <wp:posOffset>2916555</wp:posOffset>
            </wp:positionH>
            <wp:positionV relativeFrom="margin">
              <wp:posOffset>2865033</wp:posOffset>
            </wp:positionV>
            <wp:extent cx="3089910" cy="765175"/>
            <wp:effectExtent l="0" t="0" r="0" b="0"/>
            <wp:wrapSquare wrapText="bothSides"/>
            <wp:docPr id="1" name="Picture 1"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nas\Work\Clients\N\NODE4\2222 - Rebranding - Nov 2017\Design\Artwork\FINAL BRAND ASSETS\Logos\RGB\Logo_gradient-strapline_RG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9910" cy="765175"/>
                    </a:xfrm>
                    <a:prstGeom prst="rect">
                      <a:avLst/>
                    </a:prstGeom>
                    <a:noFill/>
                    <a:ln>
                      <a:noFill/>
                    </a:ln>
                  </pic:spPr>
                </pic:pic>
              </a:graphicData>
            </a:graphic>
            <wp14:sizeRelH relativeFrom="margin">
              <wp14:pctWidth>0</wp14:pctWidth>
            </wp14:sizeRelH>
          </wp:anchor>
        </w:drawing>
      </w:r>
      <w:r w:rsidR="00982CDC">
        <w:rPr>
          <w:caps/>
          <w:noProof/>
          <w:sz w:val="36"/>
          <w:szCs w:val="36"/>
          <w:lang w:val="en-US"/>
        </w:rPr>
        <mc:AlternateContent>
          <mc:Choice Requires="wps">
            <w:drawing>
              <wp:anchor distT="0" distB="0" distL="114300" distR="114300" simplePos="0" relativeHeight="251662848" behindDoc="0" locked="0" layoutInCell="1" allowOverlap="1" wp14:anchorId="5BB20BFA" wp14:editId="0CB1775A">
                <wp:simplePos x="0" y="0"/>
                <wp:positionH relativeFrom="column">
                  <wp:posOffset>-135255</wp:posOffset>
                </wp:positionH>
                <wp:positionV relativeFrom="paragraph">
                  <wp:posOffset>3460115</wp:posOffset>
                </wp:positionV>
                <wp:extent cx="6388100" cy="28194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6388100" cy="28194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F0164E" w14:textId="62D39DF4" w:rsidR="00462B63" w:rsidRDefault="00AC775B" w:rsidP="00A04071">
                            <w:pPr>
                              <w:pStyle w:val="MainTitle"/>
                              <w:tabs>
                                <w:tab w:val="left" w:pos="4111"/>
                              </w:tabs>
                              <w:ind w:right="496"/>
                              <w:jc w:val="right"/>
                              <w:rPr>
                                <w:rStyle w:val="TitleChar"/>
                              </w:rPr>
                            </w:pPr>
                            <w:sdt>
                              <w:sdtPr>
                                <w:rPr>
                                  <w:rFonts w:eastAsia="MS Mincho"/>
                                  <w:caps w:val="0"/>
                                  <w:color w:val="323232" w:themeColor="text1"/>
                                  <w:spacing w:val="10"/>
                                  <w:kern w:val="28"/>
                                  <w:sz w:val="28"/>
                                  <w:szCs w:val="28"/>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caps/>
                                  <w:spacing w:val="0"/>
                                  <w:kern w:val="0"/>
                                  <w:sz w:val="40"/>
                                  <w:szCs w:val="40"/>
                                  <w:lang w:val="en-GB" w:bidi="ar-SA"/>
                                </w:rPr>
                              </w:sdtEndPr>
                              <w:sdtContent>
                                <w:r w:rsidR="00F8436C" w:rsidRPr="00F00C3F">
                                  <w:rPr>
                                    <w:caps w:val="0"/>
                                    <w:color w:val="323232" w:themeColor="text1"/>
                                  </w:rPr>
                                  <w:t>Schedule document</w:t>
                                </w:r>
                              </w:sdtContent>
                            </w:sdt>
                          </w:p>
                          <w:sdt>
                            <w:sdt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EndPr/>
                            <w:sdtContent>
                              <w:p w14:paraId="2194AA32" w14:textId="65E7827E" w:rsidR="00462B63" w:rsidRPr="00AC775B" w:rsidRDefault="00A26862" w:rsidP="00D15A65">
                                <w:pPr>
                                  <w:pStyle w:val="Heading2"/>
                                  <w:numPr>
                                    <w:ilvl w:val="0"/>
                                    <w:numId w:val="0"/>
                                  </w:numPr>
                                  <w:ind w:left="357" w:right="496"/>
                                  <w:jc w:val="right"/>
                                </w:pPr>
                                <w:r w:rsidRPr="00AC775B">
                                  <w:t>Managed desktop service</w:t>
                                </w:r>
                              </w:p>
                            </w:sdtContent>
                          </w:sdt>
                          <w:sdt>
                            <w:sdtPr>
                              <w:rPr>
                                <w:color w:val="323232" w:themeColor="text1"/>
                              </w:rPr>
                              <w:alias w:val="Security Level Input"/>
                              <w:tag w:val="Security Level Input"/>
                              <w:id w:val="-1061325534"/>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29C6BE68" w14:textId="03EE2DFB" w:rsidR="00462B63" w:rsidRPr="00F00C3F" w:rsidRDefault="00462B63" w:rsidP="008119B0">
                                <w:pPr>
                                  <w:pStyle w:val="Heading4"/>
                                  <w:ind w:left="720" w:right="424"/>
                                  <w:jc w:val="right"/>
                                  <w:rPr>
                                    <w:rFonts w:eastAsia="Trebuchet MS"/>
                                    <w:caps w:val="0"/>
                                    <w:color w:val="323232" w:themeColor="text1"/>
                                    <w:sz w:val="20"/>
                                    <w:szCs w:val="20"/>
                                  </w:rPr>
                                </w:pPr>
                                <w:r w:rsidRPr="00F00C3F">
                                  <w:rPr>
                                    <w:color w:val="323232" w:themeColor="text1"/>
                                  </w:rPr>
                                  <w:t>Public</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EndPr>
                              <w:rPr>
                                <w:rStyle w:val="SubtleEmphasis"/>
                              </w:rPr>
                            </w:sdtEndPr>
                            <w:sdtContent>
                              <w:p w14:paraId="660BD829" w14:textId="65B9B777" w:rsidR="00462B63" w:rsidRPr="00F00C3F" w:rsidRDefault="00F8436C" w:rsidP="00896AEC">
                                <w:pPr>
                                  <w:pStyle w:val="MainTitle"/>
                                  <w:ind w:right="496"/>
                                  <w:jc w:val="right"/>
                                  <w:rPr>
                                    <w:rStyle w:val="N4TitleChar"/>
                                    <w:rFonts w:cs="Arial"/>
                                    <w:caps/>
                                    <w:color w:val="323232" w:themeColor="text1"/>
                                    <w:sz w:val="20"/>
                                    <w:szCs w:val="20"/>
                                  </w:rPr>
                                </w:pPr>
                                <w:r w:rsidRPr="00F00C3F">
                                  <w:rPr>
                                    <w:rStyle w:val="SubtleEmphasis"/>
                                    <w:rFonts w:cs="Arial"/>
                                    <w:caps w:val="0"/>
                                    <w:color w:val="323232" w:themeColor="text1"/>
                                  </w:rPr>
                                  <w:t>Node4 limited</w:t>
                                </w:r>
                              </w:p>
                            </w:sdtContent>
                          </w:sdt>
                          <w:sdt>
                            <w:sdtPr>
                              <w:rPr>
                                <w:rStyle w:val="Emphasis"/>
                                <w:rFonts w:cs="Arial"/>
                                <w:b w:val="0"/>
                                <w:color w:val="323232" w:themeColor="text1"/>
                              </w:rPr>
                              <w:alias w:val="Publish Date"/>
                              <w:tag w:val=""/>
                              <w:id w:val="1041089247"/>
                              <w:dataBinding w:prefixMappings="xmlns:ns0='http://schemas.microsoft.com/office/2006/coverPageProps' " w:xpath="/ns0:CoverPageProperties[1]/ns0:PublishDate[1]" w:storeItemID="{55AF091B-3C7A-41E3-B477-F2FDAA23CFDA}"/>
                              <w:date w:fullDate="2018-10-11T00:00:00Z">
                                <w:dateFormat w:val="dd/MM/yyyy"/>
                                <w:lid w:val="en-GB"/>
                                <w:storeMappedDataAs w:val="dateTime"/>
                                <w:calendar w:val="gregorian"/>
                              </w:date>
                            </w:sdtPr>
                            <w:sdtEndPr>
                              <w:rPr>
                                <w:rStyle w:val="Emphasis"/>
                              </w:rPr>
                            </w:sdtEndPr>
                            <w:sdtContent>
                              <w:p w14:paraId="6F70918E" w14:textId="04556B03" w:rsidR="00462B63" w:rsidRPr="00F00C3F" w:rsidRDefault="00A26862" w:rsidP="00A04071">
                                <w:pPr>
                                  <w:ind w:right="496"/>
                                  <w:jc w:val="right"/>
                                  <w:rPr>
                                    <w:rStyle w:val="Emphasis"/>
                                    <w:rFonts w:cs="Arial"/>
                                    <w:b w:val="0"/>
                                    <w:color w:val="323232" w:themeColor="text1"/>
                                  </w:rPr>
                                </w:pPr>
                                <w:r>
                                  <w:rPr>
                                    <w:rStyle w:val="Emphasis"/>
                                    <w:rFonts w:cs="Arial"/>
                                    <w:b w:val="0"/>
                                    <w:color w:val="323232" w:themeColor="text1"/>
                                  </w:rPr>
                                  <w:t>11</w:t>
                                </w:r>
                                <w:r w:rsidR="00462B63" w:rsidRPr="00F00C3F">
                                  <w:rPr>
                                    <w:rStyle w:val="Emphasis"/>
                                    <w:rFonts w:cs="Arial"/>
                                    <w:b w:val="0"/>
                                    <w:color w:val="323232" w:themeColor="text1"/>
                                  </w:rPr>
                                  <w:t>/10/201</w:t>
                                </w:r>
                                <w:r>
                                  <w:rPr>
                                    <w:rStyle w:val="Emphasis"/>
                                    <w:rFonts w:cs="Arial"/>
                                    <w:b w:val="0"/>
                                    <w:color w:val="323232" w:themeColor="text1"/>
                                  </w:rPr>
                                  <w:t>8</w:t>
                                </w:r>
                              </w:p>
                            </w:sdtContent>
                          </w:sdt>
                          <w:p w14:paraId="5AB4E343" w14:textId="77777777" w:rsidR="00462B63" w:rsidRDefault="00462B63" w:rsidP="00A0407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B20BFA" id="_x0000_t202" coordsize="21600,21600" o:spt="202" path="m,l,21600r21600,l21600,xe">
                <v:stroke joinstyle="miter"/>
                <v:path gradientshapeok="t" o:connecttype="rect"/>
              </v:shapetype>
              <v:shape id="Text Box 39" o:spid="_x0000_s1026" type="#_x0000_t202" style="position:absolute;left:0;text-align:left;margin-left:-10.65pt;margin-top:272.45pt;width:503pt;height:222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qcqwIAAKY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" filled="f" stroked="f">
                <v:textbox>
                  <w:txbxContent>
                    <w:p w14:paraId="7CF0164E" w14:textId="62D39DF4" w:rsidR="00462B63" w:rsidRDefault="00AC775B" w:rsidP="00A04071">
                      <w:pPr>
                        <w:pStyle w:val="MainTitle"/>
                        <w:tabs>
                          <w:tab w:val="left" w:pos="4111"/>
                        </w:tabs>
                        <w:ind w:right="496"/>
                        <w:jc w:val="right"/>
                        <w:rPr>
                          <w:rStyle w:val="TitleChar"/>
                        </w:rPr>
                      </w:pPr>
                      <w:sdt>
                        <w:sdtPr>
                          <w:rPr>
                            <w:rFonts w:eastAsia="MS Mincho"/>
                            <w:caps w:val="0"/>
                            <w:color w:val="323232" w:themeColor="text1"/>
                            <w:spacing w:val="10"/>
                            <w:kern w:val="28"/>
                            <w:sz w:val="28"/>
                            <w:szCs w:val="28"/>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caps/>
                            <w:spacing w:val="0"/>
                            <w:kern w:val="0"/>
                            <w:sz w:val="40"/>
                            <w:szCs w:val="40"/>
                            <w:lang w:val="en-GB" w:bidi="ar-SA"/>
                          </w:rPr>
                        </w:sdtEndPr>
                        <w:sdtContent>
                          <w:r w:rsidR="00F8436C" w:rsidRPr="00F00C3F">
                            <w:rPr>
                              <w:caps w:val="0"/>
                              <w:color w:val="323232" w:themeColor="text1"/>
                            </w:rPr>
                            <w:t>Schedule document</w:t>
                          </w:r>
                        </w:sdtContent>
                      </w:sdt>
                    </w:p>
                    <w:sdt>
                      <w:sdt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EndPr/>
                      <w:sdtContent>
                        <w:p w14:paraId="2194AA32" w14:textId="65E7827E" w:rsidR="00462B63" w:rsidRPr="00AC775B" w:rsidRDefault="00A26862" w:rsidP="00D15A65">
                          <w:pPr>
                            <w:pStyle w:val="Heading2"/>
                            <w:numPr>
                              <w:ilvl w:val="0"/>
                              <w:numId w:val="0"/>
                            </w:numPr>
                            <w:ind w:left="357" w:right="496"/>
                            <w:jc w:val="right"/>
                          </w:pPr>
                          <w:r w:rsidRPr="00AC775B">
                            <w:t>Managed desktop service</w:t>
                          </w:r>
                        </w:p>
                      </w:sdtContent>
                    </w:sdt>
                    <w:sdt>
                      <w:sdtPr>
                        <w:rPr>
                          <w:color w:val="323232" w:themeColor="text1"/>
                        </w:rPr>
                        <w:alias w:val="Security Level Input"/>
                        <w:tag w:val="Security Level Input"/>
                        <w:id w:val="-1061325534"/>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29C6BE68" w14:textId="03EE2DFB" w:rsidR="00462B63" w:rsidRPr="00F00C3F" w:rsidRDefault="00462B63" w:rsidP="008119B0">
                          <w:pPr>
                            <w:pStyle w:val="Heading4"/>
                            <w:ind w:left="720" w:right="424"/>
                            <w:jc w:val="right"/>
                            <w:rPr>
                              <w:rFonts w:eastAsia="Trebuchet MS"/>
                              <w:caps w:val="0"/>
                              <w:color w:val="323232" w:themeColor="text1"/>
                              <w:sz w:val="20"/>
                              <w:szCs w:val="20"/>
                            </w:rPr>
                          </w:pPr>
                          <w:r w:rsidRPr="00F00C3F">
                            <w:rPr>
                              <w:color w:val="323232" w:themeColor="text1"/>
                            </w:rPr>
                            <w:t>Public</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EndPr>
                        <w:rPr>
                          <w:rStyle w:val="SubtleEmphasis"/>
                        </w:rPr>
                      </w:sdtEndPr>
                      <w:sdtContent>
                        <w:p w14:paraId="660BD829" w14:textId="65B9B777" w:rsidR="00462B63" w:rsidRPr="00F00C3F" w:rsidRDefault="00F8436C" w:rsidP="00896AEC">
                          <w:pPr>
                            <w:pStyle w:val="MainTitle"/>
                            <w:ind w:right="496"/>
                            <w:jc w:val="right"/>
                            <w:rPr>
                              <w:rStyle w:val="N4TitleChar"/>
                              <w:rFonts w:cs="Arial"/>
                              <w:caps/>
                              <w:color w:val="323232" w:themeColor="text1"/>
                              <w:sz w:val="20"/>
                              <w:szCs w:val="20"/>
                            </w:rPr>
                          </w:pPr>
                          <w:r w:rsidRPr="00F00C3F">
                            <w:rPr>
                              <w:rStyle w:val="SubtleEmphasis"/>
                              <w:rFonts w:cs="Arial"/>
                              <w:caps w:val="0"/>
                              <w:color w:val="323232" w:themeColor="text1"/>
                            </w:rPr>
                            <w:t>Node4 limited</w:t>
                          </w:r>
                        </w:p>
                      </w:sdtContent>
                    </w:sdt>
                    <w:sdt>
                      <w:sdtPr>
                        <w:rPr>
                          <w:rStyle w:val="Emphasis"/>
                          <w:rFonts w:cs="Arial"/>
                          <w:b w:val="0"/>
                          <w:color w:val="323232" w:themeColor="text1"/>
                        </w:rPr>
                        <w:alias w:val="Publish Date"/>
                        <w:tag w:val=""/>
                        <w:id w:val="1041089247"/>
                        <w:dataBinding w:prefixMappings="xmlns:ns0='http://schemas.microsoft.com/office/2006/coverPageProps' " w:xpath="/ns0:CoverPageProperties[1]/ns0:PublishDate[1]" w:storeItemID="{55AF091B-3C7A-41E3-B477-F2FDAA23CFDA}"/>
                        <w:date w:fullDate="2018-10-11T00:00:00Z">
                          <w:dateFormat w:val="dd/MM/yyyy"/>
                          <w:lid w:val="en-GB"/>
                          <w:storeMappedDataAs w:val="dateTime"/>
                          <w:calendar w:val="gregorian"/>
                        </w:date>
                      </w:sdtPr>
                      <w:sdtEndPr>
                        <w:rPr>
                          <w:rStyle w:val="Emphasis"/>
                        </w:rPr>
                      </w:sdtEndPr>
                      <w:sdtContent>
                        <w:p w14:paraId="6F70918E" w14:textId="04556B03" w:rsidR="00462B63" w:rsidRPr="00F00C3F" w:rsidRDefault="00A26862" w:rsidP="00A04071">
                          <w:pPr>
                            <w:ind w:right="496"/>
                            <w:jc w:val="right"/>
                            <w:rPr>
                              <w:rStyle w:val="Emphasis"/>
                              <w:rFonts w:cs="Arial"/>
                              <w:b w:val="0"/>
                              <w:color w:val="323232" w:themeColor="text1"/>
                            </w:rPr>
                          </w:pPr>
                          <w:r>
                            <w:rPr>
                              <w:rStyle w:val="Emphasis"/>
                              <w:rFonts w:cs="Arial"/>
                              <w:b w:val="0"/>
                              <w:color w:val="323232" w:themeColor="text1"/>
                            </w:rPr>
                            <w:t>11</w:t>
                          </w:r>
                          <w:r w:rsidR="00462B63" w:rsidRPr="00F00C3F">
                            <w:rPr>
                              <w:rStyle w:val="Emphasis"/>
                              <w:rFonts w:cs="Arial"/>
                              <w:b w:val="0"/>
                              <w:color w:val="323232" w:themeColor="text1"/>
                            </w:rPr>
                            <w:t>/10/201</w:t>
                          </w:r>
                          <w:r>
                            <w:rPr>
                              <w:rStyle w:val="Emphasis"/>
                              <w:rFonts w:cs="Arial"/>
                              <w:b w:val="0"/>
                              <w:color w:val="323232" w:themeColor="text1"/>
                            </w:rPr>
                            <w:t>8</w:t>
                          </w:r>
                        </w:p>
                      </w:sdtContent>
                    </w:sdt>
                    <w:p w14:paraId="5AB4E343" w14:textId="77777777" w:rsidR="00462B63" w:rsidRDefault="00462B63" w:rsidP="00A04071">
                      <w:pPr>
                        <w:jc w:val="right"/>
                      </w:pPr>
                    </w:p>
                  </w:txbxContent>
                </v:textbox>
                <w10:wrap type="square"/>
              </v:shape>
            </w:pict>
          </mc:Fallback>
        </mc:AlternateContent>
      </w:r>
      <w:r w:rsidR="00A04071">
        <w:br w:type="page"/>
      </w:r>
      <w:bookmarkStart w:id="0" w:name="_GoBack"/>
      <w:bookmarkEnd w:id="0"/>
    </w:p>
    <w:p w14:paraId="13F52115" w14:textId="3B4E76D3" w:rsidR="00600920" w:rsidRPr="00BC665D" w:rsidRDefault="004922BD" w:rsidP="00600920">
      <w:pPr>
        <w:pStyle w:val="Heading1"/>
        <w:rPr>
          <w:rFonts w:cs="Arial"/>
        </w:rPr>
      </w:pPr>
      <w:r>
        <w:rPr>
          <w:rFonts w:cs="Arial"/>
          <w:caps w:val="0"/>
        </w:rPr>
        <w:lastRenderedPageBreak/>
        <w:t>Schedule d</w:t>
      </w:r>
      <w:r w:rsidR="003A648E">
        <w:rPr>
          <w:rFonts w:cs="Arial"/>
          <w:caps w:val="0"/>
        </w:rPr>
        <w:t xml:space="preserve">ocument </w:t>
      </w:r>
    </w:p>
    <w:p w14:paraId="30CD018C" w14:textId="247CC8B9" w:rsidR="00245ED4" w:rsidRPr="004922BD" w:rsidRDefault="003A648E" w:rsidP="00D15A65">
      <w:pPr>
        <w:pStyle w:val="Heading2"/>
        <w:numPr>
          <w:ilvl w:val="0"/>
          <w:numId w:val="0"/>
        </w:numPr>
        <w:ind w:left="357" w:hanging="357"/>
        <w:rPr>
          <w:rFonts w:cs="Arial"/>
          <w:color w:val="F79220" w:themeColor="accent1"/>
        </w:rPr>
      </w:pPr>
      <w:r w:rsidRPr="004922BD">
        <w:rPr>
          <w:rFonts w:cs="Arial"/>
          <w:color w:val="F79220" w:themeColor="accent1"/>
        </w:rPr>
        <w:t>Managed desktop service</w:t>
      </w:r>
    </w:p>
    <w:p w14:paraId="60CB6B27" w14:textId="77777777" w:rsidR="003A648E" w:rsidRDefault="003A648E" w:rsidP="003A648E">
      <w:r w:rsidRPr="00F27BA0">
        <w:t>This schedule contains additional terms and conditions, service description &amp; Serv</w:t>
      </w:r>
      <w:r>
        <w:t>ice Levels applicable to the Managed Desktop Service and should be viewed with associated Order Form, Node4’s General Terms and Conditions and the Acceptable Use Policy.</w:t>
      </w:r>
      <w:r w:rsidRPr="00600920">
        <w:t xml:space="preserve"> </w:t>
      </w:r>
    </w:p>
    <w:p w14:paraId="76DA9E31" w14:textId="08C2AE14" w:rsidR="003A648E" w:rsidRPr="003807FD" w:rsidRDefault="003A648E" w:rsidP="003A648E">
      <w:pPr>
        <w:pStyle w:val="Heading2"/>
        <w:ind w:left="0" w:firstLine="0"/>
      </w:pPr>
      <w:bookmarkStart w:id="1" w:name="_Toc464487813"/>
      <w:r>
        <w:t xml:space="preserve">Overview </w:t>
      </w:r>
      <w:bookmarkEnd w:id="1"/>
    </w:p>
    <w:p w14:paraId="3BF3B4A3" w14:textId="77777777" w:rsidR="003A648E" w:rsidRDefault="003A648E" w:rsidP="003A648E">
      <w:r>
        <w:t>Managed Desktop Service provides a managed support wrap for Desktop Devices and the users that operate them.</w:t>
      </w:r>
    </w:p>
    <w:p w14:paraId="0F65AE5B" w14:textId="77777777" w:rsidR="003A648E" w:rsidRDefault="003A648E" w:rsidP="003A648E">
      <w:r>
        <w:t>The solution offers Customer a fully scalable user based computing model and different options in terms of supplied applications, security and support.</w:t>
      </w:r>
    </w:p>
    <w:p w14:paraId="4ADE8411" w14:textId="00FE58D5" w:rsidR="003A648E" w:rsidRPr="003A648E" w:rsidRDefault="003A648E" w:rsidP="003A648E">
      <w:pPr>
        <w:pStyle w:val="Heading2"/>
        <w:ind w:left="0" w:firstLine="0"/>
        <w:rPr>
          <w:rStyle w:val="Emphasis"/>
          <w:b/>
          <w:bCs w:val="0"/>
          <w:i w:val="0"/>
          <w:iCs w:val="0"/>
          <w:color w:val="F79220"/>
          <w:sz w:val="32"/>
          <w:szCs w:val="32"/>
        </w:rPr>
      </w:pPr>
      <w:bookmarkStart w:id="2" w:name="_Toc464487814"/>
      <w:bookmarkStart w:id="3" w:name="_Toc464487815"/>
      <w:bookmarkStart w:id="4" w:name="_Toc464487816"/>
      <w:bookmarkStart w:id="5" w:name="_Toc464487817"/>
      <w:bookmarkStart w:id="6" w:name="_Toc464487818"/>
      <w:bookmarkStart w:id="7" w:name="_Toc464487819"/>
      <w:bookmarkStart w:id="8" w:name="_Toc464487820"/>
      <w:bookmarkStart w:id="9" w:name="_Toc464487821"/>
      <w:bookmarkEnd w:id="2"/>
      <w:bookmarkEnd w:id="3"/>
      <w:bookmarkEnd w:id="4"/>
      <w:bookmarkEnd w:id="5"/>
      <w:bookmarkEnd w:id="6"/>
      <w:bookmarkEnd w:id="7"/>
      <w:bookmarkEnd w:id="8"/>
      <w:r w:rsidRPr="003A648E">
        <w:t>D</w:t>
      </w:r>
      <w:r>
        <w:t xml:space="preserve">efinitions </w:t>
      </w:r>
      <w:bookmarkEnd w:id="9"/>
    </w:p>
    <w:p w14:paraId="557D640E" w14:textId="77777777" w:rsidR="003A648E" w:rsidRDefault="003A648E" w:rsidP="003A648E">
      <w:pPr>
        <w:rPr>
          <w:i/>
          <w:iCs/>
          <w:color w:val="16365D"/>
        </w:rPr>
      </w:pPr>
      <w:r w:rsidRPr="002A2301">
        <w:rPr>
          <w:rStyle w:val="Emphasis"/>
        </w:rPr>
        <w:t>“Additional Terms”</w:t>
      </w:r>
      <w:r w:rsidRPr="00600920">
        <w:rPr>
          <w:i/>
          <w:iCs/>
          <w:color w:val="16365D"/>
        </w:rPr>
        <w:t xml:space="preserve"> </w:t>
      </w:r>
      <w:r w:rsidRPr="00600920">
        <w:t>means this Schedule 2 forming part of the Master Agreement, which describes the Products and/ or Services to be provided and the relevant service levels;</w:t>
      </w:r>
      <w:r w:rsidRPr="00600920">
        <w:rPr>
          <w:i/>
          <w:iCs/>
          <w:color w:val="16365D"/>
        </w:rPr>
        <w:t xml:space="preserve"> </w:t>
      </w:r>
    </w:p>
    <w:p w14:paraId="46744BCC" w14:textId="77777777" w:rsidR="003A648E" w:rsidRDefault="003A648E" w:rsidP="003A648E">
      <w:r w:rsidRPr="000D06A8">
        <w:rPr>
          <w:b/>
        </w:rPr>
        <w:t>“Application Software Subscriptions”</w:t>
      </w:r>
      <w:r>
        <w:t xml:space="preserve"> means a current subscription service between the Customer and the application vendor for on-going access to software updates, patches and vendor support.  Subscriptions may be indirectly billed by Node4 or directly billed by the application vendor.</w:t>
      </w:r>
    </w:p>
    <w:p w14:paraId="768C9B5C" w14:textId="77777777" w:rsidR="003A648E" w:rsidRPr="00AE249E" w:rsidRDefault="003A648E" w:rsidP="003A648E">
      <w:pPr>
        <w:rPr>
          <w:rStyle w:val="Emphasis"/>
          <w:rFonts w:cs="Arial"/>
          <w:b w:val="0"/>
          <w:bCs w:val="0"/>
          <w:i w:val="0"/>
          <w:iCs w:val="0"/>
        </w:rPr>
      </w:pPr>
      <w:r w:rsidRPr="00ED2C1D">
        <w:rPr>
          <w:rFonts w:cs="Arial"/>
          <w:b/>
        </w:rPr>
        <w:t xml:space="preserve">“Desktop Device” </w:t>
      </w:r>
      <w:r>
        <w:rPr>
          <w:rFonts w:cs="Arial"/>
        </w:rPr>
        <w:t xml:space="preserve">means a Customer Owned Personal Computer such as a Laptop or </w:t>
      </w:r>
      <w:proofErr w:type="gramStart"/>
      <w:r>
        <w:rPr>
          <w:rFonts w:cs="Arial"/>
        </w:rPr>
        <w:t>Desktop</w:t>
      </w:r>
      <w:proofErr w:type="gramEnd"/>
      <w:r>
        <w:rPr>
          <w:rFonts w:cs="Arial"/>
        </w:rPr>
        <w:t xml:space="preserve"> running the Microsoft Windows 10 Enterprise Operating System or later Node4 approved version.</w:t>
      </w:r>
    </w:p>
    <w:p w14:paraId="0B3118DA" w14:textId="77777777" w:rsidR="003A648E" w:rsidRDefault="003A648E" w:rsidP="003A648E">
      <w:r w:rsidRPr="000D06A8">
        <w:rPr>
          <w:b/>
        </w:rPr>
        <w:t>“Desktop Device Image”</w:t>
      </w:r>
      <w:r>
        <w:t xml:space="preserve"> means a prepared operating system image for the purpose of imaging new or replacement Desktop Devices to a known and agreed standard.  An image will contain the agreed applications and support tools required by the User and Service Desk to deliver the services. Where multiple models of devices are in use more than one image may be required.  </w:t>
      </w:r>
    </w:p>
    <w:p w14:paraId="7593238E" w14:textId="77777777" w:rsidR="003A648E" w:rsidRDefault="003A648E" w:rsidP="003A648E">
      <w:r w:rsidRPr="000D06A8">
        <w:rPr>
          <w:b/>
        </w:rPr>
        <w:t>“Desktop Device Stock”</w:t>
      </w:r>
      <w:r>
        <w:t xml:space="preserve"> means a limited stock of pre-imaged Customer owned Desktop Devices held by Node4 at their premises for the purpose of </w:t>
      </w:r>
      <w:r>
        <w:t>expedient replacement of failed or unresponsive Desktop Devices.</w:t>
      </w:r>
    </w:p>
    <w:p w14:paraId="28C7FFEA" w14:textId="77777777" w:rsidR="003A648E" w:rsidRDefault="003A648E" w:rsidP="003A648E">
      <w:r w:rsidRPr="000D06A8">
        <w:rPr>
          <w:b/>
        </w:rPr>
        <w:t>“Hardware Warranty”</w:t>
      </w:r>
      <w:r>
        <w:t xml:space="preserve"> means a contractual agreement or service pack between Customer and Original Equipment Manufacturer (OEM) Vendor (i.e. Dell / Lenovo) for the repair or replacement of physical device hardware should it fail. </w:t>
      </w:r>
    </w:p>
    <w:p w14:paraId="1BB17B44" w14:textId="77777777" w:rsidR="003A648E" w:rsidRPr="00600920" w:rsidRDefault="003A648E" w:rsidP="003A648E">
      <w:r w:rsidRPr="002A2301">
        <w:rPr>
          <w:rStyle w:val="Emphasis"/>
        </w:rPr>
        <w:t>“Monthly Review Period”</w:t>
      </w:r>
      <w:r w:rsidRPr="00600920">
        <w:rPr>
          <w:i/>
          <w:iCs/>
          <w:color w:val="16365D"/>
        </w:rPr>
        <w:t xml:space="preserve"> </w:t>
      </w:r>
      <w:r w:rsidRPr="00600920">
        <w:t xml:space="preserve">means the calendar monthly periods commencing on the 1st of each month during the Term, over which Service performance measurements are calculated, provided that the first Monthly Review Period will commence </w:t>
      </w:r>
      <w:r>
        <w:t>following the Ready For Service Notification</w:t>
      </w:r>
      <w:r w:rsidRPr="00600920">
        <w:t xml:space="preserve">; </w:t>
      </w:r>
    </w:p>
    <w:p w14:paraId="02D2AF95" w14:textId="77777777" w:rsidR="003A648E" w:rsidRDefault="003A648E" w:rsidP="003A648E">
      <w:r w:rsidRPr="002A2301">
        <w:rPr>
          <w:rStyle w:val="Emphasis"/>
        </w:rPr>
        <w:t>“Non-Service Affecting Fault”</w:t>
      </w:r>
      <w:r w:rsidRPr="00600920">
        <w:rPr>
          <w:i/>
          <w:iCs/>
          <w:color w:val="16365D"/>
        </w:rPr>
        <w:t xml:space="preserve"> </w:t>
      </w:r>
      <w:r w:rsidRPr="00600920">
        <w:t xml:space="preserve">means a fault or condition which is not a Service Affecting Fault. </w:t>
      </w:r>
    </w:p>
    <w:p w14:paraId="67A68C5E" w14:textId="77777777" w:rsidR="003A648E" w:rsidRPr="00600920" w:rsidRDefault="003A648E" w:rsidP="003A648E">
      <w:r w:rsidRPr="000D06A8">
        <w:rPr>
          <w:b/>
        </w:rPr>
        <w:t>“On-Boarding”</w:t>
      </w:r>
      <w:r>
        <w:t xml:space="preserve"> means services provided by the Node4 Service Readiness Team to bring Desktop Devices and Users into support.  This involves the imaging of or deployment of agents to Desktop Devices and setup of Users on service desk tools and instruction on how to access support.</w:t>
      </w:r>
    </w:p>
    <w:p w14:paraId="7B63D68D" w14:textId="77777777" w:rsidR="003A648E" w:rsidRPr="00600920" w:rsidRDefault="003A648E" w:rsidP="003A648E">
      <w:r w:rsidRPr="002A2301">
        <w:rPr>
          <w:rStyle w:val="Emphasis"/>
        </w:rPr>
        <w:t>“Planned Outage”</w:t>
      </w:r>
      <w:r w:rsidRPr="00600920">
        <w:rPr>
          <w:i/>
          <w:iCs/>
          <w:color w:val="16365D"/>
        </w:rPr>
        <w:t xml:space="preserve"> </w:t>
      </w:r>
      <w:r w:rsidRPr="00600920">
        <w:t xml:space="preserve">means in maintaining the service provided, Node4 may with reasonable notice require a temporary outage in service. Wherever possible Node4 will agree the outage with </w:t>
      </w:r>
      <w:r>
        <w:t>the Customer</w:t>
      </w:r>
      <w:r w:rsidRPr="00600920">
        <w:t xml:space="preserve"> in advance of the required work. Any planned downtime shall not be included in fault or service reliability measurements.</w:t>
      </w:r>
    </w:p>
    <w:p w14:paraId="402ADF5A" w14:textId="77777777" w:rsidR="003A648E" w:rsidRPr="00600920" w:rsidRDefault="003A648E" w:rsidP="003A648E">
      <w:r w:rsidRPr="002A2301">
        <w:rPr>
          <w:rStyle w:val="Emphasis"/>
        </w:rPr>
        <w:t>“Service Affecting Fault (</w:t>
      </w:r>
      <w:proofErr w:type="spellStart"/>
      <w:r w:rsidRPr="002A2301">
        <w:rPr>
          <w:rStyle w:val="Emphasis"/>
        </w:rPr>
        <w:t>SAF</w:t>
      </w:r>
      <w:proofErr w:type="spellEnd"/>
      <w:r w:rsidRPr="002A2301">
        <w:rPr>
          <w:rStyle w:val="Emphasis"/>
        </w:rPr>
        <w:t>)”</w:t>
      </w:r>
      <w:r w:rsidRPr="00600920">
        <w:rPr>
          <w:i/>
          <w:iCs/>
          <w:color w:val="16365D"/>
        </w:rPr>
        <w:t xml:space="preserve"> </w:t>
      </w:r>
      <w:r w:rsidRPr="00600920">
        <w:t>means any failure of Node4 Network, equipment or service, which, in our reasonable opinion causes a loss of a customer’s service. In all such cases the service shall be deemed unavailable and the length of downtime recorded by Node4 from when the fault is registered by Node4 and a fault ticket number allocated.</w:t>
      </w:r>
    </w:p>
    <w:p w14:paraId="47C74A8C" w14:textId="3D9167ED" w:rsidR="003A648E" w:rsidRDefault="003A648E" w:rsidP="003A648E">
      <w:r w:rsidRPr="002A2301">
        <w:rPr>
          <w:rStyle w:val="Emphasis"/>
        </w:rPr>
        <w:t>“Service Availability”</w:t>
      </w:r>
      <w:r w:rsidRPr="00600920">
        <w:rPr>
          <w:i/>
          <w:iCs/>
          <w:color w:val="16365D"/>
        </w:rPr>
        <w:t xml:space="preserve"> </w:t>
      </w:r>
      <w:r w:rsidRPr="00600920">
        <w:t>means the time for which a Node4 service is usable, expressed as a percentag</w:t>
      </w:r>
      <w:r>
        <w:t>e of the total time in a given service m</w:t>
      </w:r>
      <w:r w:rsidRPr="00600920">
        <w:t xml:space="preserve">easurement </w:t>
      </w:r>
      <w:r>
        <w:t>p</w:t>
      </w:r>
      <w:r w:rsidRPr="00600920">
        <w:t>eriod. The Node4 service shall be deemed available for the purposes of calculating Service Availability if it is not usable due to an event outside our reasonable control, a Customer Responsible Fault, a Third Party Attributable Fault or is due to a Planned Outage.</w:t>
      </w:r>
    </w:p>
    <w:p w14:paraId="563C4FD3" w14:textId="77777777" w:rsidR="003A648E" w:rsidRPr="00600920" w:rsidRDefault="003A648E" w:rsidP="003A648E">
      <w:r w:rsidRPr="002A2301">
        <w:rPr>
          <w:rStyle w:val="Emphasis"/>
        </w:rPr>
        <w:lastRenderedPageBreak/>
        <w:t>“</w:t>
      </w:r>
      <w:r>
        <w:rPr>
          <w:rStyle w:val="Emphasis"/>
        </w:rPr>
        <w:t>Service Desk</w:t>
      </w:r>
      <w:r w:rsidRPr="002A2301">
        <w:rPr>
          <w:rStyle w:val="Emphasis"/>
        </w:rPr>
        <w:t>”</w:t>
      </w:r>
      <w:r w:rsidRPr="00600920">
        <w:rPr>
          <w:i/>
          <w:iCs/>
          <w:color w:val="16365D"/>
        </w:rPr>
        <w:t xml:space="preserve"> </w:t>
      </w:r>
      <w:r w:rsidRPr="00600920">
        <w:t xml:space="preserve">means Node4’s fault management centre, which operates the Node4 </w:t>
      </w:r>
      <w:r>
        <w:t>Service Desk Ticket system, Monitoring Tools and Fault resolution Services.</w:t>
      </w:r>
    </w:p>
    <w:p w14:paraId="62CF3AA0" w14:textId="77777777" w:rsidR="003A648E" w:rsidRDefault="003A648E" w:rsidP="003A648E">
      <w:r w:rsidRPr="002A2301" w:rsidDel="007C0EA9">
        <w:rPr>
          <w:rStyle w:val="Emphasis"/>
        </w:rPr>
        <w:t xml:space="preserve"> </w:t>
      </w:r>
      <w:r w:rsidRPr="00AE249E">
        <w:rPr>
          <w:b/>
        </w:rPr>
        <w:t>“User”</w:t>
      </w:r>
      <w:r>
        <w:t xml:space="preserve"> means an authorised employee, contractor or agent of the Customer who has access to the Service Desk for the support of their Customer owned Desktop Device or Devices.</w:t>
      </w:r>
    </w:p>
    <w:p w14:paraId="4308F852" w14:textId="77777777" w:rsidR="003A648E" w:rsidRDefault="003A648E" w:rsidP="003A648E">
      <w:r w:rsidRPr="00D07C72" w:rsidDel="00333D1B">
        <w:rPr>
          <w:b/>
        </w:rPr>
        <w:t xml:space="preserve"> </w:t>
      </w:r>
      <w:r w:rsidRPr="00AE249E">
        <w:rPr>
          <w:b/>
        </w:rPr>
        <w:t>“Vendor”</w:t>
      </w:r>
      <w:r>
        <w:t xml:space="preserve"> means a third party original equipment manufacturer that builds, supplies and provides warranty support on Desktop Device Hardware </w:t>
      </w:r>
    </w:p>
    <w:p w14:paraId="4A2B46B8" w14:textId="77777777" w:rsidR="003A648E" w:rsidRDefault="003A648E" w:rsidP="003A648E">
      <w:pPr>
        <w:pStyle w:val="Heading2"/>
      </w:pPr>
      <w:r>
        <w:t xml:space="preserve">Specific terms </w:t>
      </w:r>
    </w:p>
    <w:p w14:paraId="7944CE04" w14:textId="4AB3A024" w:rsidR="003A648E" w:rsidRPr="00AE249E" w:rsidRDefault="003A648E" w:rsidP="008A7CB3">
      <w:pPr>
        <w:pStyle w:val="Heading3"/>
      </w:pPr>
      <w:r w:rsidRPr="00AE249E">
        <w:t>C</w:t>
      </w:r>
      <w:r>
        <w:t>ustomer d</w:t>
      </w:r>
      <w:r w:rsidRPr="00AE249E">
        <w:t>ata</w:t>
      </w:r>
    </w:p>
    <w:p w14:paraId="5FA0731A" w14:textId="77777777" w:rsidR="003A648E" w:rsidRPr="00AE249E" w:rsidRDefault="003A648E" w:rsidP="003A648E">
      <w:r w:rsidRPr="00AE249E">
        <w:t xml:space="preserve">The Customer </w:t>
      </w:r>
      <w:r>
        <w:t xml:space="preserve">acknowledges that it is </w:t>
      </w:r>
      <w:r w:rsidRPr="00AE249E">
        <w:t>the owner of all data</w:t>
      </w:r>
      <w:r w:rsidRPr="00FD3B4C">
        <w:t>, text, sound, video, images and software</w:t>
      </w:r>
      <w:r w:rsidRPr="00AE249E">
        <w:t xml:space="preserve"> </w:t>
      </w:r>
      <w:r>
        <w:t xml:space="preserve">(excluding that provided by Node4 and included on the Order Form) </w:t>
      </w:r>
      <w:r w:rsidRPr="00AE249E">
        <w:t xml:space="preserve">on the Desktop Devices, and any backup or storage of it. </w:t>
      </w:r>
    </w:p>
    <w:p w14:paraId="296C8BD5" w14:textId="390433D4" w:rsidR="003A648E" w:rsidRPr="00AE249E" w:rsidRDefault="003A648E" w:rsidP="008A7CB3">
      <w:pPr>
        <w:pStyle w:val="Heading3"/>
      </w:pPr>
      <w:r w:rsidRPr="00AE249E">
        <w:t xml:space="preserve">Application </w:t>
      </w:r>
      <w:r>
        <w:t>l</w:t>
      </w:r>
      <w:r w:rsidRPr="00AE249E">
        <w:t xml:space="preserve">icencing </w:t>
      </w:r>
    </w:p>
    <w:p w14:paraId="443D269F" w14:textId="77777777" w:rsidR="003A648E" w:rsidRPr="00AE249E" w:rsidRDefault="003A648E" w:rsidP="003A648E">
      <w:r>
        <w:t xml:space="preserve">The Customer is responsible for ensuring Desktop Machines are appropriately licensed. </w:t>
      </w:r>
    </w:p>
    <w:p w14:paraId="78FF7D19" w14:textId="5537EA03" w:rsidR="003A648E" w:rsidRPr="002A2301" w:rsidRDefault="003A648E" w:rsidP="003A648E">
      <w:pPr>
        <w:pStyle w:val="Heading2"/>
      </w:pPr>
      <w:bookmarkStart w:id="10" w:name="_Toc464487822"/>
      <w:bookmarkStart w:id="11" w:name="_Toc464487823"/>
      <w:bookmarkEnd w:id="10"/>
      <w:r w:rsidRPr="00AB0748">
        <w:t>F</w:t>
      </w:r>
      <w:r>
        <w:t xml:space="preserve">ees </w:t>
      </w:r>
      <w:bookmarkEnd w:id="11"/>
    </w:p>
    <w:p w14:paraId="7C6F1207" w14:textId="77777777" w:rsidR="003A648E" w:rsidRPr="002A2301" w:rsidRDefault="003A648E" w:rsidP="003A648E">
      <w:r>
        <w:rPr>
          <w:rFonts w:cs="Helvetica-Narrow"/>
        </w:rPr>
        <w:t xml:space="preserve">Fees will </w:t>
      </w:r>
      <w:r>
        <w:t xml:space="preserve">commence when Ready </w:t>
      </w:r>
      <w:proofErr w:type="gramStart"/>
      <w:r>
        <w:t>For</w:t>
      </w:r>
      <w:proofErr w:type="gramEnd"/>
      <w:r>
        <w:t xml:space="preserve"> Service Notification is provided by Node4, this will follow</w:t>
      </w:r>
      <w:r>
        <w:rPr>
          <w:rFonts w:cs="Arial"/>
        </w:rPr>
        <w:t xml:space="preserve"> either handover of a Service or notification from Node4 that the Service is available for Customer use, </w:t>
      </w:r>
      <w:r>
        <w:t xml:space="preserve">Fees </w:t>
      </w:r>
      <w:r w:rsidRPr="00600920">
        <w:t xml:space="preserve">may comprise any or all of the following </w:t>
      </w:r>
      <w:r>
        <w:t>aspects.</w:t>
      </w:r>
    </w:p>
    <w:p w14:paraId="4C1390C0" w14:textId="1315919B" w:rsidR="003A648E" w:rsidRPr="00600920" w:rsidRDefault="003A648E" w:rsidP="008A7CB3">
      <w:pPr>
        <w:pStyle w:val="Heading3"/>
      </w:pPr>
      <w:bookmarkStart w:id="12" w:name="_Toc464487824"/>
      <w:r>
        <w:t>On-boarding fees</w:t>
      </w:r>
      <w:bookmarkEnd w:id="12"/>
    </w:p>
    <w:p w14:paraId="25A4F97B" w14:textId="77777777" w:rsidR="003A648E" w:rsidRDefault="003A648E" w:rsidP="003A648E">
      <w:r w:rsidRPr="00600920">
        <w:t xml:space="preserve">Any applicable </w:t>
      </w:r>
      <w:r>
        <w:t xml:space="preserve">installation or </w:t>
      </w:r>
      <w:r w:rsidRPr="00600920">
        <w:t xml:space="preserve">set-up </w:t>
      </w:r>
      <w:r>
        <w:t>Fees</w:t>
      </w:r>
      <w:r w:rsidRPr="00600920">
        <w:t xml:space="preserve"> </w:t>
      </w:r>
      <w:r>
        <w:t>as</w:t>
      </w:r>
      <w:r w:rsidRPr="00600920">
        <w:t xml:space="preserve"> detailed on the </w:t>
      </w:r>
      <w:r>
        <w:t>Order Form</w:t>
      </w:r>
      <w:r w:rsidRPr="00600920">
        <w:t xml:space="preserve">. </w:t>
      </w:r>
    </w:p>
    <w:p w14:paraId="4503B475" w14:textId="77777777" w:rsidR="003A648E" w:rsidRDefault="003A648E" w:rsidP="003A648E">
      <w:r>
        <w:t>Required On-Boarding Fees</w:t>
      </w:r>
    </w:p>
    <w:p w14:paraId="3A2EBF00" w14:textId="77777777" w:rsidR="003A648E" w:rsidRDefault="003A648E" w:rsidP="003A648E">
      <w:pPr>
        <w:pStyle w:val="ListParagraph"/>
        <w:numPr>
          <w:ilvl w:val="0"/>
          <w:numId w:val="36"/>
        </w:numPr>
        <w:jc w:val="left"/>
      </w:pPr>
      <w:r>
        <w:t>Preparation of Desktop Devices Image/s or survey of existing Desktop Device estate for agent deployment.</w:t>
      </w:r>
    </w:p>
    <w:p w14:paraId="2E623C51" w14:textId="77777777" w:rsidR="003A648E" w:rsidRDefault="003A648E" w:rsidP="003A648E">
      <w:pPr>
        <w:pStyle w:val="ListParagraph"/>
        <w:numPr>
          <w:ilvl w:val="0"/>
          <w:numId w:val="36"/>
        </w:numPr>
        <w:jc w:val="left"/>
      </w:pPr>
      <w:r>
        <w:t xml:space="preserve">Imaging of or agent installation on all supported Desktop Devices at Node4 Premises. – Customer to receive Desktop Devices by Courier and self-deploy at </w:t>
      </w:r>
      <w:proofErr w:type="spellStart"/>
      <w:r>
        <w:t>deskside</w:t>
      </w:r>
      <w:proofErr w:type="spellEnd"/>
      <w:r>
        <w:t>.</w:t>
      </w:r>
    </w:p>
    <w:p w14:paraId="379AA137" w14:textId="77777777" w:rsidR="003A648E" w:rsidRDefault="003A648E" w:rsidP="003A648E"/>
    <w:p w14:paraId="09B0B6B0" w14:textId="15CEBFA4" w:rsidR="003A648E" w:rsidRDefault="003A648E" w:rsidP="003A648E">
      <w:r>
        <w:t xml:space="preserve">Optional On-Boarding Fees </w:t>
      </w:r>
    </w:p>
    <w:p w14:paraId="5B5D2772" w14:textId="77777777" w:rsidR="003A648E" w:rsidRDefault="003A648E" w:rsidP="003A648E">
      <w:pPr>
        <w:pStyle w:val="ListParagraph"/>
        <w:numPr>
          <w:ilvl w:val="0"/>
          <w:numId w:val="36"/>
        </w:numPr>
        <w:jc w:val="left"/>
      </w:pPr>
      <w:r>
        <w:t xml:space="preserve">Service Readiness - Onsite Imaging of Desktop Devices </w:t>
      </w:r>
    </w:p>
    <w:p w14:paraId="1FBF3262" w14:textId="77777777" w:rsidR="003A648E" w:rsidRDefault="003A648E" w:rsidP="003A648E">
      <w:pPr>
        <w:pStyle w:val="ListParagraph"/>
        <w:numPr>
          <w:ilvl w:val="0"/>
          <w:numId w:val="36"/>
        </w:numPr>
        <w:jc w:val="left"/>
      </w:pPr>
      <w:r>
        <w:t xml:space="preserve">Service Readiness  - Onsite </w:t>
      </w:r>
      <w:proofErr w:type="spellStart"/>
      <w:r>
        <w:t>deskside</w:t>
      </w:r>
      <w:proofErr w:type="spellEnd"/>
      <w:r>
        <w:t xml:space="preserve"> deployment of Desktop Devices</w:t>
      </w:r>
    </w:p>
    <w:p w14:paraId="04FC97A5" w14:textId="77777777" w:rsidR="003A648E" w:rsidRDefault="003A648E" w:rsidP="003A648E">
      <w:pPr>
        <w:pStyle w:val="ListParagraph"/>
        <w:numPr>
          <w:ilvl w:val="0"/>
          <w:numId w:val="36"/>
        </w:numPr>
        <w:jc w:val="left"/>
      </w:pPr>
      <w:r>
        <w:t xml:space="preserve">Service Readiness -  </w:t>
      </w:r>
      <w:proofErr w:type="spellStart"/>
      <w:r>
        <w:t>Floorwalking</w:t>
      </w:r>
      <w:proofErr w:type="spellEnd"/>
      <w:r>
        <w:t xml:space="preserve"> Support by Onsite engineers post Desktop Device roll-out </w:t>
      </w:r>
    </w:p>
    <w:p w14:paraId="695257B3" w14:textId="7A7BBCAD" w:rsidR="003A648E" w:rsidRPr="00600920" w:rsidRDefault="003A648E" w:rsidP="008A7CB3">
      <w:pPr>
        <w:pStyle w:val="Heading3"/>
      </w:pPr>
      <w:bookmarkStart w:id="13" w:name="_Toc464487825"/>
      <w:r w:rsidRPr="00600920">
        <w:t xml:space="preserve">Rental </w:t>
      </w:r>
      <w:r>
        <w:t>fees</w:t>
      </w:r>
      <w:bookmarkEnd w:id="13"/>
      <w:r w:rsidRPr="00600920">
        <w:t xml:space="preserve"> </w:t>
      </w:r>
    </w:p>
    <w:p w14:paraId="16FB682A" w14:textId="77777777" w:rsidR="003A648E" w:rsidRDefault="003A648E" w:rsidP="003A648E">
      <w:r w:rsidRPr="00600920">
        <w:t xml:space="preserve">Rental </w:t>
      </w:r>
      <w:r>
        <w:t>Fees</w:t>
      </w:r>
      <w:r w:rsidRPr="00600920">
        <w:t xml:space="preserve"> are paid either monthly or annually in advance based on the options taken and any other related service and are identified on the </w:t>
      </w:r>
      <w:r>
        <w:t>Order Form</w:t>
      </w:r>
      <w:r w:rsidRPr="00600920">
        <w:t xml:space="preserve">. </w:t>
      </w:r>
    </w:p>
    <w:p w14:paraId="45D7C995" w14:textId="75F8BA72" w:rsidR="003A648E" w:rsidRPr="00600920" w:rsidRDefault="003A648E" w:rsidP="008A7CB3">
      <w:pPr>
        <w:pStyle w:val="Heading3"/>
      </w:pPr>
      <w:r>
        <w:t>Licensing</w:t>
      </w:r>
      <w:r w:rsidRPr="00600920">
        <w:t xml:space="preserve"> </w:t>
      </w:r>
      <w:r>
        <w:t>fees</w:t>
      </w:r>
      <w:r w:rsidRPr="00600920">
        <w:t xml:space="preserve"> </w:t>
      </w:r>
    </w:p>
    <w:p w14:paraId="025D270F" w14:textId="77777777" w:rsidR="003A648E" w:rsidRDefault="003A648E" w:rsidP="003A648E">
      <w:r>
        <w:t>Licensing Fees in addition to those defined on the Order Form, which are activated directly by the Customer or due to increased usage will be invoiced the month following identification</w:t>
      </w:r>
      <w:r w:rsidRPr="00600920">
        <w:t xml:space="preserve">. </w:t>
      </w:r>
    </w:p>
    <w:p w14:paraId="4AB01A54" w14:textId="77777777" w:rsidR="003A648E" w:rsidRDefault="003A648E" w:rsidP="003A648E">
      <w:r>
        <w:t xml:space="preserve">Any increases to License fees from third parties will be passed directly to the Customer on the next invoice. </w:t>
      </w:r>
    </w:p>
    <w:p w14:paraId="60EEE4FA" w14:textId="77777777" w:rsidR="003A648E" w:rsidRDefault="003A648E" w:rsidP="003A648E">
      <w:r>
        <w:t>Customer can use their own Application licences where supported by a valid EULA licensing agreement from the relevant vendor and verified by Node4.</w:t>
      </w:r>
    </w:p>
    <w:p w14:paraId="47D34135" w14:textId="77777777" w:rsidR="003A648E" w:rsidRDefault="003A648E" w:rsidP="003A648E">
      <w:r>
        <w:t>Application Software Subscriptions for any applications in use within the Desktop Image</w:t>
      </w:r>
    </w:p>
    <w:p w14:paraId="0E7967CC" w14:textId="63221749" w:rsidR="003A648E" w:rsidRPr="00426789" w:rsidRDefault="003A648E" w:rsidP="008A7CB3">
      <w:pPr>
        <w:pStyle w:val="Heading3"/>
      </w:pPr>
      <w:r>
        <w:t>Professional s</w:t>
      </w:r>
      <w:r w:rsidRPr="00426789">
        <w:t xml:space="preserve">ervice </w:t>
      </w:r>
      <w:r>
        <w:t>f</w:t>
      </w:r>
      <w:r w:rsidRPr="00426789">
        <w:t>ees</w:t>
      </w:r>
    </w:p>
    <w:p w14:paraId="628FB2E8" w14:textId="77777777" w:rsidR="003A648E" w:rsidRPr="005034C0" w:rsidRDefault="003A648E" w:rsidP="003A648E">
      <w:r w:rsidRPr="00AE249E">
        <w:rPr>
          <w:rFonts w:cs="Arial"/>
        </w:rPr>
        <w:t xml:space="preserve">Additional tasks undertaken by Node4 at the request of the Customer or activities undertaken by the Customer which require the remote support of Node4 personnel will be charged at the </w:t>
      </w:r>
      <w:r>
        <w:rPr>
          <w:rFonts w:cs="Arial"/>
        </w:rPr>
        <w:t xml:space="preserve">agreed </w:t>
      </w:r>
      <w:r w:rsidRPr="00AE249E">
        <w:rPr>
          <w:rFonts w:cs="Arial"/>
        </w:rPr>
        <w:t>hourly rates</w:t>
      </w:r>
      <w:r w:rsidRPr="00526427">
        <w:rPr>
          <w:rFonts w:cs="Arial"/>
        </w:rPr>
        <w:t>.</w:t>
      </w:r>
      <w:bookmarkStart w:id="14" w:name="_Toc464487826"/>
      <w:bookmarkStart w:id="15" w:name="_Toc464487827"/>
      <w:bookmarkStart w:id="16" w:name="_Toc464487828"/>
      <w:bookmarkStart w:id="17" w:name="_Toc464487829"/>
      <w:bookmarkStart w:id="18" w:name="_Toc464487830"/>
      <w:bookmarkStart w:id="19" w:name="_Toc464487831"/>
      <w:bookmarkEnd w:id="14"/>
      <w:bookmarkEnd w:id="15"/>
      <w:bookmarkEnd w:id="16"/>
      <w:bookmarkEnd w:id="17"/>
      <w:bookmarkEnd w:id="18"/>
    </w:p>
    <w:p w14:paraId="3DCF5828" w14:textId="25FB0CA6" w:rsidR="003A648E" w:rsidRPr="002A2301" w:rsidRDefault="003A648E" w:rsidP="003A648E">
      <w:pPr>
        <w:pStyle w:val="Heading2"/>
        <w:jc w:val="left"/>
      </w:pPr>
      <w:r w:rsidRPr="00AB0748">
        <w:t>G</w:t>
      </w:r>
      <w:r>
        <w:t xml:space="preserve">eneral provision of services </w:t>
      </w:r>
      <w:bookmarkEnd w:id="19"/>
    </w:p>
    <w:p w14:paraId="5675C342" w14:textId="52FAA081" w:rsidR="003A648E" w:rsidDel="005034C0" w:rsidRDefault="003A648E" w:rsidP="008A7CB3">
      <w:pPr>
        <w:pStyle w:val="Heading3"/>
      </w:pPr>
      <w:bookmarkStart w:id="20" w:name="_Toc464487832"/>
      <w:r>
        <w:t>N4CLoud s</w:t>
      </w:r>
      <w:r w:rsidDel="005034C0">
        <w:t xml:space="preserve">erver </w:t>
      </w:r>
      <w:r>
        <w:t>e</w:t>
      </w:r>
      <w:r w:rsidDel="005034C0">
        <w:t xml:space="preserve">nvironment </w:t>
      </w:r>
      <w:r>
        <w:t>d</w:t>
      </w:r>
      <w:r w:rsidDel="005034C0">
        <w:t xml:space="preserve">ependencies </w:t>
      </w:r>
    </w:p>
    <w:p w14:paraId="7ED094D0" w14:textId="77777777" w:rsidR="003A648E" w:rsidDel="005034C0" w:rsidRDefault="003A648E" w:rsidP="003A648E">
      <w:r w:rsidDel="005034C0">
        <w:t>Key features required for the correct and best practice support of Desktop Devices are dependent on virtual servers that run on N4Cloud</w:t>
      </w:r>
      <w:r>
        <w:t>.</w:t>
      </w:r>
      <w:r w:rsidDel="005034C0">
        <w:t xml:space="preserve"> </w:t>
      </w:r>
      <w:r>
        <w:t>T</w:t>
      </w:r>
      <w:r w:rsidDel="005034C0">
        <w:t xml:space="preserve">hese cloud servers and </w:t>
      </w:r>
      <w:r w:rsidDel="006E2A20">
        <w:t>the services</w:t>
      </w:r>
      <w:r w:rsidDel="005034C0">
        <w:t xml:space="preserve"> they host will be quoted at the time your Managed Desktop Support contract is taken out and cannot be ceased while the service is in place.</w:t>
      </w:r>
    </w:p>
    <w:p w14:paraId="0C332489" w14:textId="77777777" w:rsidR="003A648E" w:rsidRDefault="003A648E" w:rsidP="003A648E"/>
    <w:p w14:paraId="22E9E79A" w14:textId="254CBE74" w:rsidR="003A648E" w:rsidDel="005034C0" w:rsidRDefault="003A648E" w:rsidP="003A648E">
      <w:r w:rsidDel="005034C0">
        <w:lastRenderedPageBreak/>
        <w:t>Example Key Dependent Services:</w:t>
      </w:r>
    </w:p>
    <w:p w14:paraId="0266B220" w14:textId="77777777" w:rsidR="003A648E" w:rsidDel="005034C0" w:rsidRDefault="003A648E" w:rsidP="003A648E">
      <w:pPr>
        <w:pStyle w:val="ListParagraph"/>
        <w:numPr>
          <w:ilvl w:val="0"/>
          <w:numId w:val="36"/>
        </w:numPr>
        <w:jc w:val="left"/>
      </w:pPr>
      <w:r w:rsidDel="005034C0">
        <w:t>Active Directory Services (Local)</w:t>
      </w:r>
    </w:p>
    <w:p w14:paraId="38CC2B6D" w14:textId="77777777" w:rsidR="003A648E" w:rsidDel="005034C0" w:rsidRDefault="003A648E" w:rsidP="003A648E">
      <w:pPr>
        <w:pStyle w:val="ListParagraph"/>
        <w:numPr>
          <w:ilvl w:val="0"/>
          <w:numId w:val="36"/>
        </w:numPr>
        <w:jc w:val="left"/>
      </w:pPr>
      <w:r w:rsidDel="005034C0">
        <w:t>Azure Replicated Active Directory Services</w:t>
      </w:r>
    </w:p>
    <w:p w14:paraId="0BAAB81D" w14:textId="77777777" w:rsidR="003A648E" w:rsidDel="005034C0" w:rsidRDefault="003A648E" w:rsidP="003A648E">
      <w:pPr>
        <w:pStyle w:val="ListParagraph"/>
        <w:numPr>
          <w:ilvl w:val="0"/>
          <w:numId w:val="36"/>
        </w:numPr>
        <w:jc w:val="left"/>
      </w:pPr>
      <w:r w:rsidDel="005034C0">
        <w:t>Single Sign On (</w:t>
      </w:r>
      <w:proofErr w:type="spellStart"/>
      <w:r w:rsidDel="005034C0">
        <w:t>SSO</w:t>
      </w:r>
      <w:proofErr w:type="spellEnd"/>
      <w:r w:rsidDel="005034C0">
        <w:t xml:space="preserve">) </w:t>
      </w:r>
    </w:p>
    <w:p w14:paraId="2F65EDE7" w14:textId="77777777" w:rsidR="003A648E" w:rsidDel="005034C0" w:rsidRDefault="003A648E" w:rsidP="003A648E">
      <w:pPr>
        <w:pStyle w:val="ListParagraph"/>
        <w:numPr>
          <w:ilvl w:val="0"/>
          <w:numId w:val="36"/>
        </w:numPr>
        <w:jc w:val="left"/>
      </w:pPr>
      <w:r w:rsidDel="005034C0">
        <w:t>User Self Service Password Reset</w:t>
      </w:r>
    </w:p>
    <w:p w14:paraId="746487B0" w14:textId="77777777" w:rsidR="003A648E" w:rsidDel="005034C0" w:rsidRDefault="003A648E" w:rsidP="003A648E">
      <w:pPr>
        <w:pStyle w:val="ListParagraph"/>
        <w:numPr>
          <w:ilvl w:val="0"/>
          <w:numId w:val="36"/>
        </w:numPr>
        <w:jc w:val="left"/>
      </w:pPr>
      <w:r w:rsidDel="005034C0">
        <w:t>Multi Factor Authentication</w:t>
      </w:r>
    </w:p>
    <w:p w14:paraId="4FB663CC" w14:textId="77777777" w:rsidR="003A648E" w:rsidDel="005034C0" w:rsidRDefault="003A648E" w:rsidP="003A648E">
      <w:pPr>
        <w:pStyle w:val="ListParagraph"/>
        <w:numPr>
          <w:ilvl w:val="0"/>
          <w:numId w:val="36"/>
        </w:numPr>
        <w:jc w:val="left"/>
      </w:pPr>
      <w:r w:rsidDel="005034C0">
        <w:t xml:space="preserve">Mobile Device Management </w:t>
      </w:r>
    </w:p>
    <w:p w14:paraId="231F6280" w14:textId="3F699DE5" w:rsidR="003A648E" w:rsidRDefault="003A648E" w:rsidP="008A7CB3">
      <w:pPr>
        <w:pStyle w:val="Heading3"/>
      </w:pPr>
      <w:r>
        <w:t xml:space="preserve">Managed desktop service users and devices </w:t>
      </w:r>
    </w:p>
    <w:p w14:paraId="061296BB" w14:textId="77777777" w:rsidR="003A648E" w:rsidRDefault="003A648E" w:rsidP="003A648E">
      <w:r>
        <w:t>Support services will be provided based on eligibility of the user and the device that is experiencing the issue.</w:t>
      </w:r>
    </w:p>
    <w:p w14:paraId="122D2953" w14:textId="77777777" w:rsidR="003A648E" w:rsidRDefault="003A648E" w:rsidP="003A648E">
      <w:r>
        <w:t xml:space="preserve">User Schedule: </w:t>
      </w:r>
    </w:p>
    <w:p w14:paraId="69972121" w14:textId="77777777" w:rsidR="003A648E" w:rsidRDefault="003A648E" w:rsidP="003A648E">
      <w:r>
        <w:t>Users that have a live Active Directory account on the Customer domain shall be considered eligible for support unless otherwise agreed.  The Active Directory User database will therefore form the User Schedule.  Customer must update Supplier on starters and leavers through the Service Desk.</w:t>
      </w:r>
    </w:p>
    <w:p w14:paraId="65DECFDE" w14:textId="77777777" w:rsidR="003A648E" w:rsidRDefault="003A648E" w:rsidP="003A648E">
      <w:r>
        <w:t xml:space="preserve">It is Customer’s responsibility to ensure any new Users are provided with details on how to access support.  </w:t>
      </w:r>
    </w:p>
    <w:p w14:paraId="2FD97288" w14:textId="77777777" w:rsidR="003A648E" w:rsidRDefault="003A648E" w:rsidP="003A648E">
      <w:r>
        <w:t>Device Schedule:</w:t>
      </w:r>
    </w:p>
    <w:p w14:paraId="440BA10D" w14:textId="77777777" w:rsidR="003A648E" w:rsidRDefault="003A648E" w:rsidP="003A648E">
      <w:r>
        <w:t>Only Devices On-Boarded in the Managed Desktop Support service and listed by serial number on the Device Schedule within the Node4 Customer Management Database (</w:t>
      </w:r>
      <w:proofErr w:type="spellStart"/>
      <w:r>
        <w:t>CMDB</w:t>
      </w:r>
      <w:proofErr w:type="spellEnd"/>
      <w:r>
        <w:t>) will be eligible for support. To remain eligible for support the Device Image cannot be altered or replaced without prior agreement.</w:t>
      </w:r>
    </w:p>
    <w:p w14:paraId="0D2E3ACE" w14:textId="77777777" w:rsidR="003A648E" w:rsidRDefault="003A648E" w:rsidP="003A648E">
      <w:r>
        <w:t>Additional users &amp; devices will require a new order to be signed and a request for change to be created by Customer on the Service Desk.</w:t>
      </w:r>
    </w:p>
    <w:p w14:paraId="4192A476" w14:textId="5907B709" w:rsidR="003A648E" w:rsidRDefault="003A648E" w:rsidP="008A7CB3">
      <w:pPr>
        <w:pStyle w:val="Heading3"/>
      </w:pPr>
      <w:r>
        <w:t xml:space="preserve">Image </w:t>
      </w:r>
      <w:r w:rsidR="008A7CB3">
        <w:t>r</w:t>
      </w:r>
      <w:r>
        <w:t xml:space="preserve">equirements </w:t>
      </w:r>
    </w:p>
    <w:p w14:paraId="31BC227A" w14:textId="77777777" w:rsidR="003A648E" w:rsidRDefault="003A648E" w:rsidP="003A648E">
      <w:r>
        <w:t xml:space="preserve">The following minimum prerequisites are required in relation to the Managed Desktop as a Service </w:t>
      </w:r>
    </w:p>
    <w:p w14:paraId="19837378" w14:textId="77777777" w:rsidR="003A648E" w:rsidRDefault="003A648E" w:rsidP="003A648E">
      <w:pPr>
        <w:pStyle w:val="ListParagraph"/>
        <w:numPr>
          <w:ilvl w:val="0"/>
          <w:numId w:val="36"/>
        </w:numPr>
        <w:jc w:val="left"/>
      </w:pPr>
      <w:r w:rsidRPr="00653723">
        <w:t xml:space="preserve">End-user </w:t>
      </w:r>
      <w:r>
        <w:t xml:space="preserve">Desktop Device if not provided by </w:t>
      </w:r>
      <w:proofErr w:type="gramStart"/>
      <w:r>
        <w:t xml:space="preserve">Node4 </w:t>
      </w:r>
      <w:r w:rsidRPr="00653723">
        <w:t xml:space="preserve"> </w:t>
      </w:r>
      <w:r>
        <w:t>running</w:t>
      </w:r>
      <w:proofErr w:type="gramEnd"/>
      <w:r>
        <w:t xml:space="preserve"> windows 10 Enterprise with up to date patching</w:t>
      </w:r>
      <w:r w:rsidRPr="00653723">
        <w:t>.</w:t>
      </w:r>
    </w:p>
    <w:p w14:paraId="62F19191" w14:textId="77777777" w:rsidR="003A648E" w:rsidRDefault="003A648E" w:rsidP="003A648E">
      <w:pPr>
        <w:pStyle w:val="ListParagraph"/>
        <w:numPr>
          <w:ilvl w:val="0"/>
          <w:numId w:val="36"/>
        </w:numPr>
        <w:jc w:val="left"/>
      </w:pPr>
      <w:r>
        <w:t xml:space="preserve">Device Security Technology to include Anti-Virus, &amp;  Encryption </w:t>
      </w:r>
    </w:p>
    <w:p w14:paraId="686A52BF" w14:textId="77777777" w:rsidR="003A648E" w:rsidRDefault="003A648E" w:rsidP="003A648E">
      <w:pPr>
        <w:pStyle w:val="ListParagraph"/>
        <w:numPr>
          <w:ilvl w:val="0"/>
          <w:numId w:val="36"/>
        </w:numPr>
        <w:jc w:val="left"/>
      </w:pPr>
      <w:r>
        <w:t xml:space="preserve">Node4 Supplied Remote Access Support tools </w:t>
      </w:r>
    </w:p>
    <w:p w14:paraId="51F558E1" w14:textId="2512B12F" w:rsidR="003A648E" w:rsidRDefault="003A648E" w:rsidP="008A7CB3">
      <w:pPr>
        <w:pStyle w:val="Heading3"/>
      </w:pPr>
      <w:r>
        <w:t>Node4 supplied monitoring &amp; patching hardware equipment</w:t>
      </w:r>
    </w:p>
    <w:p w14:paraId="4C5F945E" w14:textId="77777777" w:rsidR="003A648E" w:rsidRDefault="003A648E" w:rsidP="003A648E">
      <w:r>
        <w:t>The customer may supply Desktop Device hardware providing it meets the agreed standard or purchase it from Node4.</w:t>
      </w:r>
    </w:p>
    <w:p w14:paraId="09CBB1D1" w14:textId="77777777" w:rsidR="003A648E" w:rsidRDefault="003A648E" w:rsidP="003A648E">
      <w:r>
        <w:t>Unless otherwise agreed all Hardware under support must be:</w:t>
      </w:r>
    </w:p>
    <w:p w14:paraId="66716655" w14:textId="77777777" w:rsidR="003A648E" w:rsidRDefault="003A648E" w:rsidP="003A648E">
      <w:pPr>
        <w:pStyle w:val="ListParagraph"/>
        <w:numPr>
          <w:ilvl w:val="0"/>
          <w:numId w:val="36"/>
        </w:numPr>
        <w:jc w:val="left"/>
      </w:pPr>
      <w:proofErr w:type="gramStart"/>
      <w:r>
        <w:t>of</w:t>
      </w:r>
      <w:proofErr w:type="gramEnd"/>
      <w:r>
        <w:t xml:space="preserve"> a Tier One Vendor (i.e. HP, Dell, Lenovo etc…)</w:t>
      </w:r>
    </w:p>
    <w:p w14:paraId="276FA8B1" w14:textId="77777777" w:rsidR="003A648E" w:rsidRDefault="003A648E" w:rsidP="003A648E">
      <w:pPr>
        <w:pStyle w:val="ListParagraph"/>
        <w:numPr>
          <w:ilvl w:val="0"/>
          <w:numId w:val="36"/>
        </w:numPr>
        <w:jc w:val="left"/>
      </w:pPr>
      <w:r>
        <w:t xml:space="preserve">within the Vendor warranty period </w:t>
      </w:r>
    </w:p>
    <w:p w14:paraId="01A751AA" w14:textId="77777777" w:rsidR="003A648E" w:rsidRDefault="003A648E" w:rsidP="003A648E">
      <w:pPr>
        <w:pStyle w:val="ListParagraph"/>
        <w:numPr>
          <w:ilvl w:val="0"/>
          <w:numId w:val="36"/>
        </w:numPr>
        <w:jc w:val="left"/>
      </w:pPr>
      <w:r>
        <w:t xml:space="preserve">supported to run Windows 10 Enterprise or later </w:t>
      </w:r>
    </w:p>
    <w:p w14:paraId="0AF4A58D" w14:textId="77777777" w:rsidR="003A648E" w:rsidRPr="00D6651E" w:rsidRDefault="003A648E" w:rsidP="003A648E">
      <w:pPr>
        <w:pStyle w:val="ListParagraph"/>
        <w:numPr>
          <w:ilvl w:val="0"/>
          <w:numId w:val="36"/>
        </w:numPr>
        <w:jc w:val="left"/>
      </w:pPr>
      <w:proofErr w:type="gramStart"/>
      <w:r>
        <w:t>and</w:t>
      </w:r>
      <w:proofErr w:type="gramEnd"/>
      <w:r>
        <w:t xml:space="preserve"> no older than 5 (five) years.</w:t>
      </w:r>
    </w:p>
    <w:p w14:paraId="667FCDF1" w14:textId="632D0193" w:rsidR="003A648E" w:rsidRDefault="003A648E" w:rsidP="008A7CB3">
      <w:pPr>
        <w:pStyle w:val="Heading3"/>
      </w:pPr>
      <w:r>
        <w:t xml:space="preserve">Hardware or </w:t>
      </w:r>
      <w:r w:rsidR="008A7CB3">
        <w:t>ha</w:t>
      </w:r>
      <w:r>
        <w:t xml:space="preserve">rdware </w:t>
      </w:r>
      <w:r w:rsidR="008A7CB3">
        <w:t>r</w:t>
      </w:r>
      <w:r>
        <w:t>elate</w:t>
      </w:r>
      <w:r w:rsidR="008A7CB3">
        <w:t>d f</w:t>
      </w:r>
      <w:r>
        <w:t>ailure</w:t>
      </w:r>
    </w:p>
    <w:p w14:paraId="500C72F9" w14:textId="77777777" w:rsidR="003A648E" w:rsidRDefault="003A648E" w:rsidP="003A648E">
      <w:r>
        <w:t>In the event that the hardware fails</w:t>
      </w:r>
      <w:r w:rsidDel="006922F6">
        <w:t xml:space="preserve"> </w:t>
      </w:r>
      <w:r>
        <w:t xml:space="preserve">the service will provide as standard for the Node4 </w:t>
      </w:r>
      <w:proofErr w:type="spellStart"/>
      <w:r>
        <w:t>ServiceDesk</w:t>
      </w:r>
      <w:proofErr w:type="spellEnd"/>
      <w:r>
        <w:t xml:space="preserve"> to contact and fault log to remediation with the Vendor Hardware Warranty Support Service.  </w:t>
      </w:r>
    </w:p>
    <w:p w14:paraId="08A3A981" w14:textId="77777777" w:rsidR="003A648E" w:rsidRDefault="003A648E" w:rsidP="003A648E">
      <w:r>
        <w:t>Vendor Support may in certain circumstances require that the User talks with them directly or on a conference call with the Node4 Service Desk Engineer present in support.</w:t>
      </w:r>
    </w:p>
    <w:p w14:paraId="09AA74B0" w14:textId="77777777" w:rsidR="003A648E" w:rsidRDefault="003A648E" w:rsidP="003A648E">
      <w:r>
        <w:t>Where hardware warranty is not in place on the Desktop Device the Service Desk will pass the ticket to the Customer account manager to arrange a quotation for replacement hardware or Break Fix work outside of this service.</w:t>
      </w:r>
    </w:p>
    <w:p w14:paraId="6B4B279A" w14:textId="487A3F2E" w:rsidR="003A648E" w:rsidRPr="00470289" w:rsidRDefault="003A648E" w:rsidP="008A7CB3">
      <w:pPr>
        <w:pStyle w:val="Heading3"/>
      </w:pPr>
      <w:r w:rsidRPr="00F1354F">
        <w:t>De</w:t>
      </w:r>
      <w:r w:rsidR="008A7CB3">
        <w:t>sktop d</w:t>
      </w:r>
      <w:r w:rsidRPr="00470289">
        <w:t xml:space="preserve">evice </w:t>
      </w:r>
      <w:r>
        <w:t xml:space="preserve">stock &amp; </w:t>
      </w:r>
      <w:r w:rsidR="008A7CB3">
        <w:t>s</w:t>
      </w:r>
      <w:r w:rsidRPr="00470289">
        <w:t xml:space="preserve">wap </w:t>
      </w:r>
      <w:r w:rsidR="008A7CB3">
        <w:t>s</w:t>
      </w:r>
      <w:r w:rsidRPr="00470289">
        <w:t>ervice</w:t>
      </w:r>
    </w:p>
    <w:p w14:paraId="3D3B2A78" w14:textId="77777777" w:rsidR="003A648E" w:rsidRDefault="003A648E" w:rsidP="003A648E">
      <w:r>
        <w:t>If specified on the Order Form:</w:t>
      </w:r>
    </w:p>
    <w:p w14:paraId="21D90A3F" w14:textId="77777777" w:rsidR="003A648E" w:rsidRDefault="003A648E" w:rsidP="003A648E">
      <w:r>
        <w:t xml:space="preserve">An optional service can be offered to store a limited quantity of Customer owned Desktop Devices at a Node4 storage facility.  These devices will be pre-imaged and packaged as fast replacement for failed Desktop Devices at Customer Premises or User Home </w:t>
      </w:r>
      <w:proofErr w:type="gramStart"/>
      <w:r>
        <w:t>office  for</w:t>
      </w:r>
      <w:proofErr w:type="gramEnd"/>
      <w:r>
        <w:t xml:space="preserve"> couriering to users.</w:t>
      </w:r>
    </w:p>
    <w:p w14:paraId="1E6AE5C3" w14:textId="77777777" w:rsidR="003A648E" w:rsidRDefault="003A648E" w:rsidP="003A648E">
      <w:r>
        <w:t>Please note that this service attracts a charge for each swap out and is only available in the UK and subject to courier delivery capability in remote areas.</w:t>
      </w:r>
    </w:p>
    <w:p w14:paraId="05FD1946" w14:textId="34ED5FD2" w:rsidR="003A648E" w:rsidRDefault="003A648E" w:rsidP="008A7CB3">
      <w:pPr>
        <w:pStyle w:val="Heading3"/>
      </w:pPr>
      <w:r>
        <w:t>De</w:t>
      </w:r>
      <w:r w:rsidR="008A7CB3">
        <w:t>sktop e</w:t>
      </w:r>
      <w:r>
        <w:t xml:space="preserve">nvironment  </w:t>
      </w:r>
    </w:p>
    <w:p w14:paraId="59BF4514" w14:textId="77777777" w:rsidR="003A648E" w:rsidRDefault="003A648E" w:rsidP="003A648E">
      <w:r>
        <w:t xml:space="preserve">The following aspects are included in the Desktop as a Service </w:t>
      </w:r>
    </w:p>
    <w:p w14:paraId="19CA0861" w14:textId="77777777" w:rsidR="003A648E" w:rsidRDefault="003A648E" w:rsidP="003A648E">
      <w:r>
        <w:t xml:space="preserve">The Desktop </w:t>
      </w:r>
      <w:proofErr w:type="gramStart"/>
      <w:r>
        <w:t>Device  Image</w:t>
      </w:r>
      <w:proofErr w:type="gramEnd"/>
      <w:r>
        <w:t xml:space="preserve"> will include as standard the following:</w:t>
      </w:r>
    </w:p>
    <w:p w14:paraId="76B02B3B" w14:textId="77777777" w:rsidR="003A648E" w:rsidRDefault="003A648E" w:rsidP="003A648E">
      <w:pPr>
        <w:pStyle w:val="ListParagraph"/>
        <w:numPr>
          <w:ilvl w:val="0"/>
          <w:numId w:val="33"/>
        </w:numPr>
        <w:jc w:val="left"/>
      </w:pPr>
      <w:r>
        <w:lastRenderedPageBreak/>
        <w:t xml:space="preserve">Microsoft Windows Operating System (Windows 10 Enterprise or later) </w:t>
      </w:r>
    </w:p>
    <w:p w14:paraId="5F7766E6" w14:textId="77777777" w:rsidR="003A648E" w:rsidRDefault="003A648E" w:rsidP="003A648E">
      <w:pPr>
        <w:pStyle w:val="ListParagraph"/>
        <w:numPr>
          <w:ilvl w:val="0"/>
          <w:numId w:val="33"/>
        </w:numPr>
        <w:jc w:val="left"/>
      </w:pPr>
      <w:proofErr w:type="spellStart"/>
      <w:r>
        <w:t>EndPoint</w:t>
      </w:r>
      <w:proofErr w:type="spellEnd"/>
      <w:r>
        <w:t xml:space="preserve"> Security Services including Encryption</w:t>
      </w:r>
    </w:p>
    <w:p w14:paraId="02B37820" w14:textId="77777777" w:rsidR="003A648E" w:rsidRDefault="003A648E" w:rsidP="003A648E">
      <w:pPr>
        <w:pStyle w:val="ListParagraph"/>
        <w:numPr>
          <w:ilvl w:val="0"/>
          <w:numId w:val="33"/>
        </w:numPr>
        <w:jc w:val="left"/>
      </w:pPr>
      <w:r>
        <w:t>Internet Browser (Internet explorer)</w:t>
      </w:r>
    </w:p>
    <w:p w14:paraId="3A140CB0" w14:textId="77777777" w:rsidR="003A648E" w:rsidRDefault="003A648E" w:rsidP="003A648E">
      <w:pPr>
        <w:pStyle w:val="ListParagraph"/>
        <w:numPr>
          <w:ilvl w:val="0"/>
          <w:numId w:val="33"/>
        </w:numPr>
        <w:jc w:val="left"/>
      </w:pPr>
      <w:r>
        <w:t>Office 365 - Microsoft Office Suite, Outlook, Excel, PowerPoint and Word.</w:t>
      </w:r>
    </w:p>
    <w:p w14:paraId="2E378419" w14:textId="77777777" w:rsidR="003A648E" w:rsidRDefault="003A648E" w:rsidP="003A648E">
      <w:pPr>
        <w:pStyle w:val="ListParagraph"/>
        <w:numPr>
          <w:ilvl w:val="0"/>
          <w:numId w:val="33"/>
        </w:numPr>
        <w:jc w:val="left"/>
      </w:pPr>
      <w:r>
        <w:t>Node4 Support Tools for Applying critical and important security patches to the above Applications and Operating Systems</w:t>
      </w:r>
    </w:p>
    <w:p w14:paraId="22D37A7E" w14:textId="77777777" w:rsidR="003A648E" w:rsidRPr="00653723" w:rsidRDefault="003A648E" w:rsidP="003A648E">
      <w:pPr>
        <w:pStyle w:val="ListParagraph"/>
        <w:numPr>
          <w:ilvl w:val="0"/>
          <w:numId w:val="33"/>
        </w:numPr>
        <w:jc w:val="left"/>
      </w:pPr>
      <w:r>
        <w:t xml:space="preserve">Implementation of automated patching as per agreed schedule </w:t>
      </w:r>
    </w:p>
    <w:p w14:paraId="260EEB39" w14:textId="77777777" w:rsidR="003A648E" w:rsidRPr="00653723" w:rsidRDefault="003A648E" w:rsidP="003A648E">
      <w:r>
        <w:t>If specified on the Order Form</w:t>
      </w:r>
      <w:r w:rsidRPr="00653723">
        <w:t xml:space="preserve"> following options </w:t>
      </w:r>
      <w:r>
        <w:t>can be included:</w:t>
      </w:r>
      <w:r w:rsidRPr="00653723">
        <w:t xml:space="preserve"> </w:t>
      </w:r>
    </w:p>
    <w:p w14:paraId="2562AD12" w14:textId="77777777" w:rsidR="003A648E" w:rsidRDefault="003A648E" w:rsidP="003A648E">
      <w:pPr>
        <w:pStyle w:val="ListParagraph"/>
        <w:numPr>
          <w:ilvl w:val="0"/>
          <w:numId w:val="34"/>
        </w:numPr>
        <w:jc w:val="left"/>
      </w:pPr>
      <w:r>
        <w:t>CITRIX Client</w:t>
      </w:r>
    </w:p>
    <w:p w14:paraId="55964A54" w14:textId="77777777" w:rsidR="003A648E" w:rsidRDefault="003A648E" w:rsidP="003A648E">
      <w:pPr>
        <w:pStyle w:val="ListParagraph"/>
        <w:numPr>
          <w:ilvl w:val="0"/>
          <w:numId w:val="34"/>
        </w:numPr>
        <w:jc w:val="left"/>
      </w:pPr>
      <w:r>
        <w:t xml:space="preserve">Additional Microsoft applications where available on the Microsoft </w:t>
      </w:r>
      <w:proofErr w:type="spellStart"/>
      <w:r>
        <w:t>CSP</w:t>
      </w:r>
      <w:proofErr w:type="spellEnd"/>
      <w:r>
        <w:t xml:space="preserve"> licensing program.</w:t>
      </w:r>
    </w:p>
    <w:p w14:paraId="01AE5A9A" w14:textId="77777777" w:rsidR="003A648E" w:rsidRDefault="003A648E" w:rsidP="003A648E">
      <w:pPr>
        <w:pStyle w:val="ListParagraph"/>
        <w:numPr>
          <w:ilvl w:val="0"/>
          <w:numId w:val="34"/>
        </w:numPr>
        <w:jc w:val="left"/>
      </w:pPr>
      <w:r>
        <w:t>Cisco Jabber Collaboration software (VOIP System &amp; Softphone)</w:t>
      </w:r>
    </w:p>
    <w:p w14:paraId="18D67082" w14:textId="77777777" w:rsidR="003A648E" w:rsidRDefault="003A648E" w:rsidP="003A648E">
      <w:pPr>
        <w:pStyle w:val="ListParagraph"/>
        <w:numPr>
          <w:ilvl w:val="0"/>
          <w:numId w:val="34"/>
        </w:numPr>
        <w:jc w:val="left"/>
      </w:pPr>
      <w:r>
        <w:t>Bespoke applications installation</w:t>
      </w:r>
    </w:p>
    <w:p w14:paraId="75A6E54C" w14:textId="77777777" w:rsidR="003A648E" w:rsidRDefault="003A648E" w:rsidP="003A648E">
      <w:pPr>
        <w:pStyle w:val="ListParagraph"/>
        <w:numPr>
          <w:ilvl w:val="0"/>
          <w:numId w:val="34"/>
        </w:numPr>
        <w:jc w:val="left"/>
      </w:pPr>
      <w:r>
        <w:t xml:space="preserve">Advanced Encryption Technology </w:t>
      </w:r>
    </w:p>
    <w:p w14:paraId="1EB77CB0" w14:textId="77777777" w:rsidR="003A648E" w:rsidRDefault="003A648E" w:rsidP="003A648E">
      <w:pPr>
        <w:pStyle w:val="ListParagraph"/>
        <w:numPr>
          <w:ilvl w:val="0"/>
          <w:numId w:val="34"/>
        </w:numPr>
        <w:jc w:val="left"/>
      </w:pPr>
      <w:r>
        <w:t>Mobile Device Management Technology</w:t>
      </w:r>
    </w:p>
    <w:p w14:paraId="00372AF5" w14:textId="77777777" w:rsidR="003A648E" w:rsidRDefault="003A648E" w:rsidP="003A648E">
      <w:pPr>
        <w:pStyle w:val="ListParagraph"/>
        <w:numPr>
          <w:ilvl w:val="0"/>
          <w:numId w:val="34"/>
        </w:numPr>
        <w:jc w:val="left"/>
      </w:pPr>
      <w:proofErr w:type="spellStart"/>
      <w:r>
        <w:t>Webex</w:t>
      </w:r>
      <w:proofErr w:type="spellEnd"/>
      <w:r>
        <w:t xml:space="preserve"> Meeting Centre (named user) </w:t>
      </w:r>
    </w:p>
    <w:p w14:paraId="5F77A343" w14:textId="77777777" w:rsidR="003A648E" w:rsidRPr="001C6B45" w:rsidRDefault="003A648E" w:rsidP="003A648E">
      <w:r>
        <w:t>Any Customer specific requirements for the environment or support responsibilities for third party applications will be specified on the Order Form.</w:t>
      </w:r>
    </w:p>
    <w:p w14:paraId="0BBF2C44" w14:textId="77777777" w:rsidR="003A648E" w:rsidRDefault="003A648E" w:rsidP="008A7CB3">
      <w:pPr>
        <w:pStyle w:val="Heading3"/>
      </w:pPr>
      <w:r>
        <w:t xml:space="preserve">Administration </w:t>
      </w:r>
    </w:p>
    <w:p w14:paraId="4011F648" w14:textId="77777777" w:rsidR="003A648E" w:rsidRDefault="003A648E" w:rsidP="003A648E">
      <w:r>
        <w:t>The following aspects are included:</w:t>
      </w:r>
    </w:p>
    <w:p w14:paraId="0C22103C" w14:textId="77777777" w:rsidR="003A648E" w:rsidRPr="000D06A8" w:rsidRDefault="003A648E" w:rsidP="003A648E">
      <w:pPr>
        <w:pStyle w:val="ListParagraph"/>
        <w:numPr>
          <w:ilvl w:val="0"/>
          <w:numId w:val="36"/>
        </w:numPr>
        <w:jc w:val="left"/>
      </w:pPr>
      <w:r w:rsidRPr="000D06A8">
        <w:t xml:space="preserve">New Starter </w:t>
      </w:r>
    </w:p>
    <w:p w14:paraId="11D58CBD" w14:textId="77777777" w:rsidR="003A648E" w:rsidRPr="000D06A8" w:rsidRDefault="003A648E" w:rsidP="003A648E">
      <w:pPr>
        <w:pStyle w:val="ListParagraph"/>
        <w:numPr>
          <w:ilvl w:val="0"/>
          <w:numId w:val="36"/>
        </w:numPr>
        <w:jc w:val="left"/>
      </w:pPr>
      <w:r w:rsidRPr="000D06A8">
        <w:t xml:space="preserve">Leaver </w:t>
      </w:r>
    </w:p>
    <w:p w14:paraId="4884F851" w14:textId="77777777" w:rsidR="003A648E" w:rsidRPr="000D06A8" w:rsidRDefault="003A648E" w:rsidP="003A648E">
      <w:pPr>
        <w:pStyle w:val="ListParagraph"/>
        <w:numPr>
          <w:ilvl w:val="0"/>
          <w:numId w:val="36"/>
        </w:numPr>
        <w:jc w:val="left"/>
      </w:pPr>
      <w:r w:rsidRPr="000D06A8">
        <w:t xml:space="preserve">Password Reset </w:t>
      </w:r>
    </w:p>
    <w:p w14:paraId="3037041C" w14:textId="77777777" w:rsidR="003A648E" w:rsidRPr="000D06A8" w:rsidRDefault="003A648E" w:rsidP="003A648E">
      <w:pPr>
        <w:pStyle w:val="ListParagraph"/>
        <w:numPr>
          <w:ilvl w:val="0"/>
          <w:numId w:val="36"/>
        </w:numPr>
        <w:jc w:val="left"/>
      </w:pPr>
      <w:r w:rsidRPr="000D06A8">
        <w:t xml:space="preserve">Change to access policies </w:t>
      </w:r>
    </w:p>
    <w:p w14:paraId="49A560FE" w14:textId="77777777" w:rsidR="003A648E" w:rsidRPr="000D06A8" w:rsidRDefault="003A648E" w:rsidP="003A648E">
      <w:pPr>
        <w:pStyle w:val="ListParagraph"/>
        <w:numPr>
          <w:ilvl w:val="0"/>
          <w:numId w:val="36"/>
        </w:numPr>
        <w:jc w:val="left"/>
      </w:pPr>
      <w:r w:rsidRPr="000D06A8">
        <w:t xml:space="preserve">Remote Wipe of Desktop Device (if feature is </w:t>
      </w:r>
      <w:r w:rsidRPr="00422CEF">
        <w:t>available</w:t>
      </w:r>
      <w:r w:rsidRPr="000D06A8">
        <w:t>)</w:t>
      </w:r>
    </w:p>
    <w:p w14:paraId="6886BA4D" w14:textId="77777777" w:rsidR="003A648E" w:rsidRPr="000D06A8" w:rsidRDefault="003A648E" w:rsidP="003A648E">
      <w:pPr>
        <w:pStyle w:val="ListParagraph"/>
        <w:numPr>
          <w:ilvl w:val="0"/>
          <w:numId w:val="36"/>
        </w:numPr>
        <w:jc w:val="left"/>
      </w:pPr>
      <w:r>
        <w:t>Changes to Group Policies or User Rights</w:t>
      </w:r>
    </w:p>
    <w:p w14:paraId="13A6077F" w14:textId="7C08E725" w:rsidR="003A648E" w:rsidRPr="00407D07" w:rsidRDefault="008A7CB3" w:rsidP="008A7CB3">
      <w:pPr>
        <w:pStyle w:val="Heading3"/>
      </w:pPr>
      <w:r>
        <w:t>Service d</w:t>
      </w:r>
      <w:r w:rsidR="003A648E" w:rsidRPr="00AE249E">
        <w:t xml:space="preserve">esk </w:t>
      </w:r>
      <w:r>
        <w:t>s</w:t>
      </w:r>
      <w:r w:rsidR="003A648E" w:rsidRPr="00407D07">
        <w:t xml:space="preserve">upport </w:t>
      </w:r>
    </w:p>
    <w:p w14:paraId="637A5FB6" w14:textId="77777777" w:rsidR="003A648E" w:rsidRDefault="003A648E" w:rsidP="003A648E">
      <w:r>
        <w:t xml:space="preserve">Bronze level support, as identified in the Incident Management Schedule is provided as standard on the Managed Desktop Service. Options are available for Silver and Gold support levels. </w:t>
      </w:r>
    </w:p>
    <w:p w14:paraId="68B6BB61" w14:textId="77777777" w:rsidR="003A648E" w:rsidRDefault="003A648E" w:rsidP="003A648E">
      <w:r>
        <w:t>The Node4 Service Desk will take support phone calls, tickets or emails directly from Customer End User and managed to resolution within the Service Desk Portal.</w:t>
      </w:r>
    </w:p>
    <w:p w14:paraId="453F7884" w14:textId="5E45575E" w:rsidR="003A648E" w:rsidRPr="00600920" w:rsidRDefault="008A7CB3" w:rsidP="008A7CB3">
      <w:pPr>
        <w:pStyle w:val="Heading3"/>
      </w:pPr>
      <w:bookmarkStart w:id="21" w:name="_Toc464487834"/>
      <w:bookmarkStart w:id="22" w:name="_Toc464487835"/>
      <w:bookmarkStart w:id="23" w:name="_Toc464487836"/>
      <w:bookmarkStart w:id="24" w:name="_Toc464487837"/>
      <w:bookmarkStart w:id="25" w:name="_Toc464487838"/>
      <w:bookmarkStart w:id="26" w:name="_Toc464487839"/>
      <w:bookmarkStart w:id="27" w:name="_Toc464487840"/>
      <w:bookmarkStart w:id="28" w:name="_Toc464487841"/>
      <w:bookmarkStart w:id="29" w:name="_Toc464487842"/>
      <w:bookmarkStart w:id="30" w:name="_Toc464487843"/>
      <w:bookmarkStart w:id="31" w:name="_Toc464487844"/>
      <w:bookmarkStart w:id="32" w:name="_Toc464487845"/>
      <w:bookmarkStart w:id="33" w:name="_Toc464487847"/>
      <w:bookmarkEnd w:id="20"/>
      <w:bookmarkEnd w:id="21"/>
      <w:bookmarkEnd w:id="22"/>
      <w:bookmarkEnd w:id="23"/>
      <w:bookmarkEnd w:id="24"/>
      <w:bookmarkEnd w:id="25"/>
      <w:bookmarkEnd w:id="26"/>
      <w:bookmarkEnd w:id="27"/>
      <w:bookmarkEnd w:id="28"/>
      <w:bookmarkEnd w:id="29"/>
      <w:bookmarkEnd w:id="30"/>
      <w:bookmarkEnd w:id="31"/>
      <w:bookmarkEnd w:id="32"/>
      <w:r>
        <w:t>Maintenance w</w:t>
      </w:r>
      <w:r w:rsidR="003A648E" w:rsidRPr="00600920">
        <w:t>indow</w:t>
      </w:r>
      <w:r w:rsidR="003A648E">
        <w:t>s</w:t>
      </w:r>
      <w:bookmarkEnd w:id="33"/>
      <w:r w:rsidR="003A648E" w:rsidRPr="00600920">
        <w:t xml:space="preserve"> </w:t>
      </w:r>
    </w:p>
    <w:p w14:paraId="2EFF3898" w14:textId="77777777" w:rsidR="003A648E" w:rsidRDefault="003A648E" w:rsidP="003A648E">
      <w:r w:rsidRPr="00600920">
        <w:t>Where Node4 plans to perform essential works and the changes are service affecting, Node4 will use reasonable endeavours to perform such works between the hours of 00:00 and 04:00 and will use reasonable endeavours to give the Customer at least five (5) days prior notice for network related work and at least ten (10) days prior notice for Infrastructure related work. In the event of an emergency or Service Affecting Fault such notice may be less than 24 hours. This is without prejudice to or limitation of the definition of Planned Outage.</w:t>
      </w:r>
    </w:p>
    <w:p w14:paraId="102AF47E" w14:textId="473BE14E" w:rsidR="003A648E" w:rsidRDefault="008A7CB3" w:rsidP="008A7CB3">
      <w:pPr>
        <w:pStyle w:val="Heading3"/>
      </w:pPr>
      <w:r>
        <w:t>Updates and p</w:t>
      </w:r>
      <w:r w:rsidR="003A648E">
        <w:t xml:space="preserve">atching </w:t>
      </w:r>
    </w:p>
    <w:p w14:paraId="5AF22E02" w14:textId="77777777" w:rsidR="003A648E" w:rsidRDefault="003A648E" w:rsidP="003A648E">
      <w:r>
        <w:t>Unless otherwise agreed Microsoft operating system and application patching will be carried out in line with the Default Node4 Patching Schedule.</w:t>
      </w:r>
    </w:p>
    <w:p w14:paraId="17DBF153" w14:textId="77777777" w:rsidR="003A648E" w:rsidRDefault="003A648E" w:rsidP="003A648E">
      <w:r>
        <w:t xml:space="preserve">Unless otherwise agreed Third Party Applications will be patched only on Customer or application vendor request via the Node4 service desk. </w:t>
      </w:r>
    </w:p>
    <w:p w14:paraId="6BC5B486" w14:textId="77777777" w:rsidR="003A648E" w:rsidRDefault="003A648E" w:rsidP="008A7CB3">
      <w:pPr>
        <w:pStyle w:val="Heading3"/>
      </w:pPr>
      <w:r>
        <w:t>Excluded from service</w:t>
      </w:r>
    </w:p>
    <w:p w14:paraId="1AAB5B70" w14:textId="77777777" w:rsidR="003A648E" w:rsidRDefault="003A648E" w:rsidP="003A648E">
      <w:r>
        <w:t>The following aspects are excluded from the service:</w:t>
      </w:r>
    </w:p>
    <w:p w14:paraId="3ADF9AC0" w14:textId="77777777" w:rsidR="003A648E" w:rsidRDefault="003A648E" w:rsidP="003A648E">
      <w:pPr>
        <w:pStyle w:val="ListParagraph"/>
        <w:numPr>
          <w:ilvl w:val="0"/>
          <w:numId w:val="35"/>
        </w:numPr>
        <w:jc w:val="left"/>
      </w:pPr>
      <w:r>
        <w:t>Support for End user hardware unless listed on the Device Schedule.</w:t>
      </w:r>
    </w:p>
    <w:p w14:paraId="2F408108" w14:textId="77777777" w:rsidR="003A648E" w:rsidRDefault="003A648E" w:rsidP="003A648E">
      <w:pPr>
        <w:pStyle w:val="ListParagraph"/>
        <w:numPr>
          <w:ilvl w:val="0"/>
          <w:numId w:val="35"/>
        </w:numPr>
        <w:jc w:val="left"/>
      </w:pPr>
      <w:r>
        <w:t>Support of Customer specific applications installed on the image</w:t>
      </w:r>
    </w:p>
    <w:p w14:paraId="58A2DC1B" w14:textId="77777777" w:rsidR="003A648E" w:rsidRDefault="003A648E" w:rsidP="003A648E">
      <w:pPr>
        <w:pStyle w:val="ListParagraph"/>
        <w:numPr>
          <w:ilvl w:val="0"/>
          <w:numId w:val="35"/>
        </w:numPr>
        <w:jc w:val="left"/>
      </w:pPr>
      <w:r>
        <w:t xml:space="preserve">Support for the Upgrade and Patching of Customer specific Applications </w:t>
      </w:r>
    </w:p>
    <w:p w14:paraId="7AE2ED98" w14:textId="77777777" w:rsidR="003A648E" w:rsidRDefault="003A648E" w:rsidP="003A648E">
      <w:pPr>
        <w:pStyle w:val="ListParagraph"/>
        <w:numPr>
          <w:ilvl w:val="0"/>
          <w:numId w:val="35"/>
        </w:numPr>
        <w:jc w:val="left"/>
      </w:pPr>
      <w:r>
        <w:t>Operating System / Application Version Upgrades.  (</w:t>
      </w:r>
      <w:proofErr w:type="gramStart"/>
      <w:r>
        <w:t>i.e</w:t>
      </w:r>
      <w:proofErr w:type="gramEnd"/>
      <w:r>
        <w:t>. upgrading from Win10 to Win11 is excluded).</w:t>
      </w:r>
    </w:p>
    <w:p w14:paraId="6EC1CEBC" w14:textId="77777777" w:rsidR="003A648E" w:rsidRDefault="003A648E" w:rsidP="003A648E">
      <w:pPr>
        <w:pStyle w:val="ListParagraph"/>
        <w:numPr>
          <w:ilvl w:val="0"/>
          <w:numId w:val="35"/>
        </w:numPr>
        <w:jc w:val="left"/>
      </w:pPr>
      <w:r>
        <w:t>Data stored on and or recovery of data from Desktop Devices.</w:t>
      </w:r>
    </w:p>
    <w:p w14:paraId="1C24FF81" w14:textId="0A80F6C7" w:rsidR="003A648E" w:rsidRPr="00AB0748" w:rsidRDefault="008A7CB3" w:rsidP="008A7CB3">
      <w:pPr>
        <w:pStyle w:val="Heading3"/>
      </w:pPr>
      <w:r>
        <w:t>Third p</w:t>
      </w:r>
      <w:r w:rsidR="003A648E">
        <w:t>arties</w:t>
      </w:r>
    </w:p>
    <w:p w14:paraId="526ABF6B" w14:textId="77777777" w:rsidR="003A648E" w:rsidRPr="00E6120B" w:rsidRDefault="003A648E" w:rsidP="003A648E">
      <w:r w:rsidRPr="00600920">
        <w:t>Node4 shall not be liable in respect of any contract, agreement or relationship that Customer may have with any third party. If a dispute arises between Customer and a third party involving Node4’s Service, Node4 shall provide the Customer with reasonable information and assistance (to the extent that such is not adverse to Node4’s interests to Customer</w:t>
      </w:r>
      <w:r>
        <w:t xml:space="preserve"> (at Customer’s expense</w:t>
      </w:r>
      <w:r w:rsidRPr="00600920">
        <w:t xml:space="preserve">) in the </w:t>
      </w:r>
      <w:r w:rsidRPr="00065ABB">
        <w:t xml:space="preserve">resolution of such dispute. </w:t>
      </w:r>
    </w:p>
    <w:p w14:paraId="643E579E" w14:textId="027914E3" w:rsidR="003A648E" w:rsidRPr="00356BD2" w:rsidRDefault="003A648E" w:rsidP="003A648E">
      <w:pPr>
        <w:pStyle w:val="Heading2"/>
      </w:pPr>
      <w:bookmarkStart w:id="34" w:name="_Toc464487874"/>
      <w:r>
        <w:t>F</w:t>
      </w:r>
      <w:r w:rsidR="008A7CB3">
        <w:t xml:space="preserve">ault </w:t>
      </w:r>
      <w:bookmarkEnd w:id="34"/>
      <w:r w:rsidR="008A7CB3">
        <w:t>m</w:t>
      </w:r>
      <w:r>
        <w:t>anagement</w:t>
      </w:r>
    </w:p>
    <w:p w14:paraId="46B429E1" w14:textId="01429EBB" w:rsidR="003A648E" w:rsidRPr="00600920" w:rsidRDefault="003A648E" w:rsidP="008A7CB3">
      <w:pPr>
        <w:pStyle w:val="Heading3"/>
      </w:pPr>
      <w:bookmarkStart w:id="35" w:name="_Toc464487875"/>
      <w:r w:rsidRPr="00600920">
        <w:t xml:space="preserve">Fault </w:t>
      </w:r>
      <w:r w:rsidR="008A7CB3">
        <w:t>h</w:t>
      </w:r>
      <w:r w:rsidRPr="00600920">
        <w:t>andling</w:t>
      </w:r>
      <w:bookmarkEnd w:id="35"/>
      <w:r w:rsidRPr="00600920">
        <w:t xml:space="preserve"> </w:t>
      </w:r>
    </w:p>
    <w:p w14:paraId="08B782A5" w14:textId="77777777" w:rsidR="003A648E" w:rsidRPr="00600920" w:rsidRDefault="003A648E" w:rsidP="003A648E">
      <w:r w:rsidRPr="00600920">
        <w:t xml:space="preserve">Faults are handled as outlined </w:t>
      </w:r>
      <w:r>
        <w:t>as outlined in Node4’s Incident Management Service Schedule.</w:t>
      </w:r>
      <w:r w:rsidRPr="00600920">
        <w:t xml:space="preserve"> </w:t>
      </w:r>
    </w:p>
    <w:p w14:paraId="031BA89F" w14:textId="28244092" w:rsidR="003A648E" w:rsidRPr="00600920" w:rsidRDefault="003A648E" w:rsidP="008A7CB3">
      <w:pPr>
        <w:pStyle w:val="Heading3"/>
      </w:pPr>
      <w:bookmarkStart w:id="36" w:name="_Toc464487878"/>
      <w:r w:rsidRPr="00600920">
        <w:lastRenderedPageBreak/>
        <w:t xml:space="preserve">Time to </w:t>
      </w:r>
      <w:r w:rsidR="008A7CB3">
        <w:t>r</w:t>
      </w:r>
      <w:r w:rsidRPr="00600920">
        <w:t>epair</w:t>
      </w:r>
      <w:bookmarkEnd w:id="36"/>
      <w:r w:rsidRPr="00600920">
        <w:t xml:space="preserve"> </w:t>
      </w:r>
    </w:p>
    <w:p w14:paraId="57208379" w14:textId="77777777" w:rsidR="003A648E" w:rsidRDefault="003A648E" w:rsidP="003A648E">
      <w:r w:rsidRPr="00600920">
        <w:t xml:space="preserve">Node4 aims to resolve requests in relation to the </w:t>
      </w:r>
      <w:r>
        <w:t>Desktop Device</w:t>
      </w:r>
      <w:r w:rsidRPr="00600920">
        <w:t xml:space="preserve"> causing a loss of service </w:t>
      </w:r>
      <w:r>
        <w:t>within</w:t>
      </w:r>
      <w:r w:rsidRPr="00600920">
        <w:t xml:space="preserve"> the following response times:</w:t>
      </w:r>
    </w:p>
    <w:tbl>
      <w:tblPr>
        <w:tblStyle w:val="TableGrid"/>
        <w:tblW w:w="4585" w:type="dxa"/>
        <w:tblCellSpacing w:w="20"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1345"/>
        <w:gridCol w:w="810"/>
        <w:gridCol w:w="810"/>
        <w:gridCol w:w="810"/>
        <w:gridCol w:w="810"/>
      </w:tblGrid>
      <w:tr w:rsidR="003A648E" w:rsidRPr="00600920" w14:paraId="3E6F7637" w14:textId="77777777" w:rsidTr="001A3EF7">
        <w:trPr>
          <w:cantSplit/>
          <w:trHeight w:val="575"/>
          <w:tblCellSpacing w:w="20" w:type="dxa"/>
        </w:trPr>
        <w:tc>
          <w:tcPr>
            <w:tcW w:w="1285" w:type="dxa"/>
            <w:shd w:val="clear" w:color="auto" w:fill="565A5C"/>
          </w:tcPr>
          <w:p w14:paraId="4777B200" w14:textId="77777777" w:rsidR="003A648E" w:rsidRPr="00FE48BA" w:rsidRDefault="003A648E" w:rsidP="001A3EF7">
            <w:pPr>
              <w:jc w:val="left"/>
              <w:rPr>
                <w:rFonts w:cs="Arial"/>
                <w:color w:val="FFFFFF" w:themeColor="background1"/>
                <w:sz w:val="12"/>
                <w:szCs w:val="12"/>
              </w:rPr>
            </w:pPr>
            <w:r w:rsidRPr="00FE48BA">
              <w:rPr>
                <w:rFonts w:cs="Arial"/>
                <w:color w:val="FFFFFF" w:themeColor="background1"/>
                <w:sz w:val="12"/>
                <w:szCs w:val="12"/>
              </w:rPr>
              <w:t>Description</w:t>
            </w:r>
          </w:p>
        </w:tc>
        <w:tc>
          <w:tcPr>
            <w:tcW w:w="770" w:type="dxa"/>
            <w:shd w:val="clear" w:color="auto" w:fill="565A5C"/>
          </w:tcPr>
          <w:p w14:paraId="55F4826A" w14:textId="77777777" w:rsidR="003A648E" w:rsidRPr="00FE48BA" w:rsidRDefault="003A648E" w:rsidP="001A3EF7">
            <w:pPr>
              <w:jc w:val="left"/>
              <w:rPr>
                <w:rFonts w:cs="Arial"/>
                <w:color w:val="FFFFFF" w:themeColor="background1"/>
                <w:sz w:val="12"/>
                <w:szCs w:val="12"/>
              </w:rPr>
            </w:pPr>
            <w:r w:rsidRPr="00FE48BA">
              <w:rPr>
                <w:rFonts w:cs="Arial"/>
                <w:color w:val="FFFFFF" w:themeColor="background1"/>
                <w:sz w:val="12"/>
                <w:szCs w:val="12"/>
              </w:rPr>
              <w:t>Priority</w:t>
            </w:r>
            <w:r>
              <w:rPr>
                <w:rFonts w:cs="Arial"/>
                <w:color w:val="FFFFFF" w:themeColor="background1"/>
                <w:sz w:val="12"/>
                <w:szCs w:val="12"/>
              </w:rPr>
              <w:t xml:space="preserve"> </w:t>
            </w:r>
            <w:r w:rsidRPr="00FE48BA">
              <w:rPr>
                <w:rFonts w:cs="Arial"/>
                <w:color w:val="FFFFFF" w:themeColor="background1"/>
                <w:sz w:val="12"/>
                <w:szCs w:val="12"/>
              </w:rPr>
              <w:t>1</w:t>
            </w:r>
          </w:p>
        </w:tc>
        <w:tc>
          <w:tcPr>
            <w:tcW w:w="770" w:type="dxa"/>
            <w:shd w:val="clear" w:color="auto" w:fill="565A5C"/>
          </w:tcPr>
          <w:p w14:paraId="203C033D" w14:textId="77777777" w:rsidR="003A648E" w:rsidRPr="00FE48BA" w:rsidRDefault="003A648E" w:rsidP="001A3EF7">
            <w:pPr>
              <w:jc w:val="left"/>
              <w:rPr>
                <w:rFonts w:cs="Arial"/>
                <w:color w:val="FFFFFF" w:themeColor="background1"/>
                <w:sz w:val="12"/>
                <w:szCs w:val="12"/>
              </w:rPr>
            </w:pPr>
            <w:r w:rsidRPr="00FE48BA">
              <w:rPr>
                <w:rFonts w:cs="Arial"/>
                <w:color w:val="FFFFFF" w:themeColor="background1"/>
                <w:sz w:val="12"/>
                <w:szCs w:val="12"/>
              </w:rPr>
              <w:t>Priority 2</w:t>
            </w:r>
          </w:p>
        </w:tc>
        <w:tc>
          <w:tcPr>
            <w:tcW w:w="770" w:type="dxa"/>
            <w:shd w:val="clear" w:color="auto" w:fill="565A5C"/>
          </w:tcPr>
          <w:p w14:paraId="3954EFC3" w14:textId="77777777" w:rsidR="003A648E" w:rsidRPr="00FE48BA" w:rsidRDefault="003A648E" w:rsidP="001A3EF7">
            <w:pPr>
              <w:jc w:val="left"/>
              <w:rPr>
                <w:rFonts w:cs="Arial"/>
                <w:color w:val="FFFFFF"/>
                <w:sz w:val="12"/>
                <w:szCs w:val="12"/>
              </w:rPr>
            </w:pPr>
            <w:r w:rsidRPr="00FE48BA">
              <w:rPr>
                <w:rFonts w:cs="Arial"/>
                <w:color w:val="FFFFFF" w:themeColor="background1"/>
                <w:sz w:val="12"/>
                <w:szCs w:val="12"/>
              </w:rPr>
              <w:t>Priority 3</w:t>
            </w:r>
          </w:p>
        </w:tc>
        <w:tc>
          <w:tcPr>
            <w:tcW w:w="750" w:type="dxa"/>
            <w:shd w:val="clear" w:color="auto" w:fill="565A5C"/>
          </w:tcPr>
          <w:p w14:paraId="0A7ED2F3" w14:textId="77777777" w:rsidR="003A648E" w:rsidRPr="00FE48BA" w:rsidRDefault="003A648E" w:rsidP="001A3EF7">
            <w:pPr>
              <w:jc w:val="left"/>
              <w:rPr>
                <w:rFonts w:cs="Arial"/>
                <w:sz w:val="12"/>
                <w:szCs w:val="12"/>
              </w:rPr>
            </w:pPr>
            <w:r w:rsidRPr="00FE48BA">
              <w:rPr>
                <w:rFonts w:cs="Arial"/>
                <w:color w:val="FFFFFF" w:themeColor="background1"/>
                <w:sz w:val="12"/>
                <w:szCs w:val="12"/>
              </w:rPr>
              <w:t>Priority 4</w:t>
            </w:r>
          </w:p>
        </w:tc>
      </w:tr>
      <w:tr w:rsidR="003A648E" w:rsidRPr="00600920" w14:paraId="353141CC" w14:textId="77777777" w:rsidTr="001A3EF7">
        <w:trPr>
          <w:trHeight w:val="1303"/>
          <w:tblCellSpacing w:w="20" w:type="dxa"/>
        </w:trPr>
        <w:tc>
          <w:tcPr>
            <w:tcW w:w="1285" w:type="dxa"/>
            <w:shd w:val="clear" w:color="auto" w:fill="D9D9D9"/>
          </w:tcPr>
          <w:p w14:paraId="5516EFD3" w14:textId="77777777" w:rsidR="003A648E" w:rsidRPr="00600920" w:rsidRDefault="003A648E" w:rsidP="001A3EF7">
            <w:pPr>
              <w:jc w:val="left"/>
              <w:rPr>
                <w:rFonts w:cs="Arial"/>
                <w:sz w:val="14"/>
                <w:szCs w:val="14"/>
              </w:rPr>
            </w:pPr>
            <w:r w:rsidRPr="00600920">
              <w:rPr>
                <w:rFonts w:cs="Arial"/>
                <w:sz w:val="14"/>
                <w:szCs w:val="14"/>
              </w:rPr>
              <w:t xml:space="preserve">Faults </w:t>
            </w:r>
            <w:r>
              <w:rPr>
                <w:rFonts w:cs="Arial"/>
                <w:sz w:val="14"/>
                <w:szCs w:val="14"/>
              </w:rPr>
              <w:t>&amp; Technical Queries Acknowledge</w:t>
            </w:r>
            <w:r w:rsidRPr="00600920">
              <w:rPr>
                <w:rFonts w:cs="Arial"/>
                <w:sz w:val="14"/>
                <w:szCs w:val="14"/>
              </w:rPr>
              <w:t>ment*</w:t>
            </w:r>
          </w:p>
        </w:tc>
        <w:tc>
          <w:tcPr>
            <w:tcW w:w="770" w:type="dxa"/>
            <w:shd w:val="clear" w:color="auto" w:fill="D9D9D9"/>
          </w:tcPr>
          <w:p w14:paraId="6BFB554E" w14:textId="77777777" w:rsidR="003A648E" w:rsidRPr="00600920" w:rsidRDefault="003A648E" w:rsidP="001A3EF7">
            <w:pPr>
              <w:jc w:val="left"/>
              <w:rPr>
                <w:rFonts w:cs="Arial"/>
                <w:sz w:val="14"/>
                <w:szCs w:val="14"/>
              </w:rPr>
            </w:pPr>
            <w:r w:rsidRPr="00600920">
              <w:rPr>
                <w:rFonts w:cs="Arial"/>
                <w:sz w:val="14"/>
                <w:szCs w:val="14"/>
              </w:rPr>
              <w:t xml:space="preserve">30 </w:t>
            </w:r>
            <w:proofErr w:type="spellStart"/>
            <w:r w:rsidRPr="00600920">
              <w:rPr>
                <w:rFonts w:cs="Arial"/>
                <w:sz w:val="14"/>
                <w:szCs w:val="14"/>
              </w:rPr>
              <w:t>Mins</w:t>
            </w:r>
            <w:proofErr w:type="spellEnd"/>
          </w:p>
        </w:tc>
        <w:tc>
          <w:tcPr>
            <w:tcW w:w="770" w:type="dxa"/>
            <w:shd w:val="clear" w:color="auto" w:fill="D9D9D9"/>
          </w:tcPr>
          <w:p w14:paraId="24048181" w14:textId="77777777" w:rsidR="003A648E" w:rsidRPr="00600920" w:rsidRDefault="003A648E" w:rsidP="001A3EF7">
            <w:pPr>
              <w:jc w:val="left"/>
              <w:rPr>
                <w:rFonts w:cs="Arial"/>
                <w:sz w:val="14"/>
                <w:szCs w:val="14"/>
              </w:rPr>
            </w:pPr>
            <w:r w:rsidRPr="00600920">
              <w:rPr>
                <w:rFonts w:cs="Arial"/>
                <w:sz w:val="14"/>
                <w:szCs w:val="14"/>
              </w:rPr>
              <w:t xml:space="preserve">30 </w:t>
            </w:r>
            <w:proofErr w:type="spellStart"/>
            <w:r w:rsidRPr="00600920">
              <w:rPr>
                <w:rFonts w:cs="Arial"/>
                <w:sz w:val="14"/>
                <w:szCs w:val="14"/>
              </w:rPr>
              <w:t>Mins</w:t>
            </w:r>
            <w:proofErr w:type="spellEnd"/>
          </w:p>
        </w:tc>
        <w:tc>
          <w:tcPr>
            <w:tcW w:w="770" w:type="dxa"/>
            <w:shd w:val="clear" w:color="auto" w:fill="D9D9D9"/>
          </w:tcPr>
          <w:p w14:paraId="5BE9088E" w14:textId="77777777" w:rsidR="003A648E" w:rsidRPr="00600920" w:rsidRDefault="003A648E" w:rsidP="001A3EF7">
            <w:pPr>
              <w:jc w:val="left"/>
              <w:rPr>
                <w:rFonts w:cs="Arial"/>
                <w:sz w:val="14"/>
                <w:szCs w:val="14"/>
              </w:rPr>
            </w:pPr>
            <w:r>
              <w:rPr>
                <w:rFonts w:cs="Arial"/>
                <w:sz w:val="14"/>
                <w:szCs w:val="14"/>
              </w:rPr>
              <w:t>1 H</w:t>
            </w:r>
            <w:r w:rsidRPr="00600920">
              <w:rPr>
                <w:rFonts w:cs="Arial"/>
                <w:sz w:val="14"/>
                <w:szCs w:val="14"/>
              </w:rPr>
              <w:t>r</w:t>
            </w:r>
          </w:p>
        </w:tc>
        <w:tc>
          <w:tcPr>
            <w:tcW w:w="750" w:type="dxa"/>
            <w:shd w:val="clear" w:color="auto" w:fill="D9D9D9"/>
          </w:tcPr>
          <w:p w14:paraId="15FA0F7F" w14:textId="77777777" w:rsidR="003A648E" w:rsidRPr="00600920" w:rsidRDefault="003A648E" w:rsidP="001A3EF7">
            <w:pPr>
              <w:jc w:val="left"/>
              <w:rPr>
                <w:rFonts w:cs="Arial"/>
                <w:sz w:val="14"/>
                <w:szCs w:val="14"/>
              </w:rPr>
            </w:pPr>
            <w:r>
              <w:rPr>
                <w:rFonts w:cs="Arial"/>
                <w:sz w:val="14"/>
                <w:szCs w:val="14"/>
              </w:rPr>
              <w:t>2 Hr</w:t>
            </w:r>
            <w:r w:rsidRPr="00600920">
              <w:rPr>
                <w:rFonts w:cs="Arial"/>
                <w:sz w:val="14"/>
                <w:szCs w:val="14"/>
              </w:rPr>
              <w:t>s</w:t>
            </w:r>
          </w:p>
        </w:tc>
      </w:tr>
      <w:tr w:rsidR="003A648E" w:rsidRPr="00600920" w14:paraId="3BD14D1F" w14:textId="77777777" w:rsidTr="001A3EF7">
        <w:trPr>
          <w:trHeight w:val="709"/>
          <w:tblCellSpacing w:w="20" w:type="dxa"/>
        </w:trPr>
        <w:tc>
          <w:tcPr>
            <w:tcW w:w="1285" w:type="dxa"/>
          </w:tcPr>
          <w:p w14:paraId="3DB5ED9A" w14:textId="77777777" w:rsidR="003A648E" w:rsidRPr="00600920" w:rsidRDefault="003A648E" w:rsidP="001A3EF7">
            <w:pPr>
              <w:jc w:val="left"/>
              <w:rPr>
                <w:rFonts w:cs="Arial"/>
                <w:sz w:val="14"/>
                <w:szCs w:val="14"/>
              </w:rPr>
            </w:pPr>
            <w:r w:rsidRPr="00600920">
              <w:rPr>
                <w:rFonts w:cs="Arial"/>
                <w:sz w:val="14"/>
                <w:szCs w:val="14"/>
              </w:rPr>
              <w:t>Remedial Engineer Actions Commence</w:t>
            </w:r>
          </w:p>
        </w:tc>
        <w:tc>
          <w:tcPr>
            <w:tcW w:w="770" w:type="dxa"/>
          </w:tcPr>
          <w:p w14:paraId="0768F328" w14:textId="77777777" w:rsidR="003A648E" w:rsidRPr="00600920" w:rsidRDefault="003A648E" w:rsidP="001A3EF7">
            <w:pPr>
              <w:jc w:val="left"/>
              <w:rPr>
                <w:rFonts w:cs="Arial"/>
                <w:sz w:val="14"/>
                <w:szCs w:val="14"/>
              </w:rPr>
            </w:pPr>
            <w:r w:rsidRPr="00600920">
              <w:rPr>
                <w:rFonts w:cs="Arial"/>
                <w:sz w:val="14"/>
                <w:szCs w:val="14"/>
              </w:rPr>
              <w:t xml:space="preserve">1 </w:t>
            </w:r>
            <w:r>
              <w:rPr>
                <w:rFonts w:cs="Arial"/>
                <w:sz w:val="14"/>
                <w:szCs w:val="14"/>
              </w:rPr>
              <w:t>H</w:t>
            </w:r>
            <w:r w:rsidRPr="00600920">
              <w:rPr>
                <w:rFonts w:cs="Arial"/>
                <w:sz w:val="14"/>
                <w:szCs w:val="14"/>
              </w:rPr>
              <w:t>r</w:t>
            </w:r>
          </w:p>
        </w:tc>
        <w:tc>
          <w:tcPr>
            <w:tcW w:w="770" w:type="dxa"/>
          </w:tcPr>
          <w:p w14:paraId="60450093" w14:textId="77777777" w:rsidR="003A648E" w:rsidRPr="00600920" w:rsidRDefault="003A648E" w:rsidP="001A3EF7">
            <w:pPr>
              <w:jc w:val="left"/>
              <w:rPr>
                <w:rFonts w:cs="Arial"/>
                <w:sz w:val="14"/>
                <w:szCs w:val="14"/>
              </w:rPr>
            </w:pPr>
            <w:r>
              <w:rPr>
                <w:rFonts w:cs="Arial"/>
                <w:sz w:val="14"/>
                <w:szCs w:val="14"/>
              </w:rPr>
              <w:t>2 H</w:t>
            </w:r>
            <w:r w:rsidRPr="00600920">
              <w:rPr>
                <w:rFonts w:cs="Arial"/>
                <w:sz w:val="14"/>
                <w:szCs w:val="14"/>
              </w:rPr>
              <w:t>rs</w:t>
            </w:r>
          </w:p>
        </w:tc>
        <w:tc>
          <w:tcPr>
            <w:tcW w:w="770" w:type="dxa"/>
          </w:tcPr>
          <w:p w14:paraId="5233E656" w14:textId="77777777" w:rsidR="003A648E" w:rsidRPr="00600920" w:rsidRDefault="003A648E" w:rsidP="001A3EF7">
            <w:pPr>
              <w:jc w:val="left"/>
              <w:rPr>
                <w:rFonts w:cs="Arial"/>
                <w:sz w:val="14"/>
                <w:szCs w:val="14"/>
              </w:rPr>
            </w:pPr>
            <w:r>
              <w:rPr>
                <w:rFonts w:cs="Arial"/>
                <w:sz w:val="14"/>
                <w:szCs w:val="14"/>
              </w:rPr>
              <w:t>4 H</w:t>
            </w:r>
            <w:r w:rsidRPr="00600920">
              <w:rPr>
                <w:rFonts w:cs="Arial"/>
                <w:sz w:val="14"/>
                <w:szCs w:val="14"/>
              </w:rPr>
              <w:t>rs</w:t>
            </w:r>
          </w:p>
        </w:tc>
        <w:tc>
          <w:tcPr>
            <w:tcW w:w="750" w:type="dxa"/>
          </w:tcPr>
          <w:p w14:paraId="2C185067" w14:textId="77777777" w:rsidR="003A648E" w:rsidRPr="00600920" w:rsidRDefault="003A648E" w:rsidP="001A3EF7">
            <w:pPr>
              <w:jc w:val="left"/>
              <w:rPr>
                <w:rFonts w:cs="Arial"/>
                <w:sz w:val="14"/>
                <w:szCs w:val="14"/>
              </w:rPr>
            </w:pPr>
            <w:r>
              <w:rPr>
                <w:rFonts w:cs="Arial"/>
                <w:sz w:val="14"/>
                <w:szCs w:val="14"/>
              </w:rPr>
              <w:t>12 H</w:t>
            </w:r>
            <w:r w:rsidRPr="00600920">
              <w:rPr>
                <w:rFonts w:cs="Arial"/>
                <w:sz w:val="14"/>
                <w:szCs w:val="14"/>
              </w:rPr>
              <w:t>rs</w:t>
            </w:r>
          </w:p>
        </w:tc>
      </w:tr>
      <w:tr w:rsidR="003A648E" w:rsidRPr="00600920" w14:paraId="0C7F9A9A" w14:textId="77777777" w:rsidTr="001A3EF7">
        <w:trPr>
          <w:trHeight w:val="754"/>
          <w:tblCellSpacing w:w="20" w:type="dxa"/>
        </w:trPr>
        <w:tc>
          <w:tcPr>
            <w:tcW w:w="1285" w:type="dxa"/>
            <w:shd w:val="clear" w:color="auto" w:fill="D9D9D9"/>
          </w:tcPr>
          <w:p w14:paraId="67885F99" w14:textId="77777777" w:rsidR="003A648E" w:rsidRPr="00600920" w:rsidRDefault="003A648E" w:rsidP="001A3EF7">
            <w:pPr>
              <w:jc w:val="left"/>
              <w:rPr>
                <w:rFonts w:cs="Arial"/>
                <w:sz w:val="14"/>
                <w:szCs w:val="14"/>
              </w:rPr>
            </w:pPr>
            <w:r w:rsidRPr="00600920">
              <w:rPr>
                <w:rFonts w:cs="Arial"/>
                <w:sz w:val="14"/>
                <w:szCs w:val="14"/>
              </w:rPr>
              <w:t>Time to Resolve Fault**</w:t>
            </w:r>
          </w:p>
        </w:tc>
        <w:tc>
          <w:tcPr>
            <w:tcW w:w="770" w:type="dxa"/>
            <w:shd w:val="clear" w:color="auto" w:fill="D9D9D9"/>
          </w:tcPr>
          <w:p w14:paraId="75C85967" w14:textId="77777777" w:rsidR="003A648E" w:rsidRPr="00600920" w:rsidRDefault="003A648E" w:rsidP="001A3EF7">
            <w:pPr>
              <w:jc w:val="left"/>
              <w:rPr>
                <w:rFonts w:cs="Arial"/>
                <w:sz w:val="14"/>
                <w:szCs w:val="14"/>
              </w:rPr>
            </w:pPr>
            <w:r>
              <w:rPr>
                <w:rFonts w:cs="Arial"/>
                <w:sz w:val="14"/>
                <w:szCs w:val="14"/>
              </w:rPr>
              <w:t>4 H</w:t>
            </w:r>
            <w:r w:rsidRPr="00600920">
              <w:rPr>
                <w:rFonts w:cs="Arial"/>
                <w:sz w:val="14"/>
                <w:szCs w:val="14"/>
              </w:rPr>
              <w:t>rs</w:t>
            </w:r>
          </w:p>
        </w:tc>
        <w:tc>
          <w:tcPr>
            <w:tcW w:w="770" w:type="dxa"/>
            <w:shd w:val="clear" w:color="auto" w:fill="D9D9D9"/>
          </w:tcPr>
          <w:p w14:paraId="221AC90B" w14:textId="77777777" w:rsidR="003A648E" w:rsidRPr="00600920" w:rsidRDefault="003A648E" w:rsidP="001A3EF7">
            <w:pPr>
              <w:jc w:val="left"/>
              <w:rPr>
                <w:rFonts w:cs="Arial"/>
                <w:sz w:val="14"/>
                <w:szCs w:val="14"/>
              </w:rPr>
            </w:pPr>
            <w:r w:rsidRPr="00600920">
              <w:rPr>
                <w:rFonts w:cs="Arial"/>
                <w:sz w:val="14"/>
                <w:szCs w:val="14"/>
              </w:rPr>
              <w:t>4</w:t>
            </w:r>
            <w:r>
              <w:rPr>
                <w:rFonts w:cs="Arial"/>
                <w:sz w:val="14"/>
                <w:szCs w:val="14"/>
              </w:rPr>
              <w:br/>
              <w:t>H</w:t>
            </w:r>
            <w:r w:rsidRPr="00600920">
              <w:rPr>
                <w:rFonts w:cs="Arial"/>
                <w:sz w:val="14"/>
                <w:szCs w:val="14"/>
              </w:rPr>
              <w:t>rs</w:t>
            </w:r>
          </w:p>
        </w:tc>
        <w:tc>
          <w:tcPr>
            <w:tcW w:w="770" w:type="dxa"/>
            <w:shd w:val="clear" w:color="auto" w:fill="D9D9D9"/>
          </w:tcPr>
          <w:p w14:paraId="789F71F3" w14:textId="77777777" w:rsidR="003A648E" w:rsidRPr="00600920" w:rsidRDefault="003A648E" w:rsidP="001A3EF7">
            <w:pPr>
              <w:jc w:val="left"/>
              <w:rPr>
                <w:rFonts w:cs="Arial"/>
                <w:sz w:val="14"/>
                <w:szCs w:val="14"/>
              </w:rPr>
            </w:pPr>
            <w:r>
              <w:rPr>
                <w:rFonts w:cs="Arial"/>
                <w:sz w:val="14"/>
                <w:szCs w:val="14"/>
              </w:rPr>
              <w:t>24 H</w:t>
            </w:r>
            <w:r w:rsidRPr="00600920">
              <w:rPr>
                <w:rFonts w:cs="Arial"/>
                <w:sz w:val="14"/>
                <w:szCs w:val="14"/>
              </w:rPr>
              <w:t>rs</w:t>
            </w:r>
          </w:p>
        </w:tc>
        <w:tc>
          <w:tcPr>
            <w:tcW w:w="750" w:type="dxa"/>
            <w:shd w:val="clear" w:color="auto" w:fill="D9D9D9"/>
          </w:tcPr>
          <w:p w14:paraId="17E37802" w14:textId="77777777" w:rsidR="003A648E" w:rsidRPr="00600920" w:rsidRDefault="003A648E" w:rsidP="001A3EF7">
            <w:pPr>
              <w:jc w:val="left"/>
              <w:rPr>
                <w:rFonts w:cs="Arial"/>
                <w:sz w:val="14"/>
                <w:szCs w:val="14"/>
              </w:rPr>
            </w:pPr>
            <w:r>
              <w:rPr>
                <w:rFonts w:cs="Arial"/>
                <w:sz w:val="14"/>
                <w:szCs w:val="14"/>
              </w:rPr>
              <w:t>72 H</w:t>
            </w:r>
            <w:r w:rsidRPr="00600920">
              <w:rPr>
                <w:rFonts w:cs="Arial"/>
                <w:sz w:val="14"/>
                <w:szCs w:val="14"/>
              </w:rPr>
              <w:t>rs</w:t>
            </w:r>
          </w:p>
        </w:tc>
      </w:tr>
    </w:tbl>
    <w:p w14:paraId="165AD06D" w14:textId="77777777" w:rsidR="003A648E" w:rsidRPr="00600920" w:rsidRDefault="003A648E" w:rsidP="003A648E">
      <w:pPr>
        <w:pStyle w:val="Default"/>
        <w:rPr>
          <w:rFonts w:ascii="Arial" w:hAnsi="Arial" w:cs="Arial"/>
          <w:color w:val="585858"/>
          <w:sz w:val="20"/>
          <w:szCs w:val="20"/>
        </w:rPr>
      </w:pPr>
    </w:p>
    <w:p w14:paraId="34FAAE34" w14:textId="77777777" w:rsidR="003A648E" w:rsidRPr="00600920" w:rsidRDefault="003A648E" w:rsidP="003A648E">
      <w:r>
        <w:t>Please note that a fault affecting a less than 5 users is categorised at Priority 3.</w:t>
      </w:r>
    </w:p>
    <w:p w14:paraId="0FF9DB1C" w14:textId="77777777" w:rsidR="003A648E" w:rsidRDefault="003A648E" w:rsidP="003A648E">
      <w:r w:rsidDel="00DD0159">
        <w:rPr>
          <w:b/>
          <w:color w:val="FF0000"/>
        </w:rPr>
        <w:t xml:space="preserve"> </w:t>
      </w:r>
      <w:r w:rsidRPr="00B9144F">
        <w:rPr>
          <w:color w:val="auto"/>
        </w:rPr>
        <w:t xml:space="preserve">All </w:t>
      </w:r>
      <w:r>
        <w:rPr>
          <w:rFonts w:cs="Arial"/>
          <w:color w:val="auto"/>
        </w:rPr>
        <w:t>p</w:t>
      </w:r>
      <w:r w:rsidRPr="00B9144F">
        <w:rPr>
          <w:rFonts w:cs="Arial"/>
          <w:color w:val="auto"/>
        </w:rPr>
        <w:t>riority</w:t>
      </w:r>
      <w:r w:rsidRPr="00B9144F">
        <w:rPr>
          <w:color w:val="auto"/>
        </w:rPr>
        <w:t xml:space="preserve"> 1 &amp; </w:t>
      </w:r>
      <w:r w:rsidRPr="00600920">
        <w:t>2 faults should be raised via the tickets system then followed by a phone call.</w:t>
      </w:r>
      <w:r>
        <w:t xml:space="preserve">  </w:t>
      </w:r>
    </w:p>
    <w:p w14:paraId="7F5768F5" w14:textId="77777777" w:rsidR="003A648E" w:rsidRPr="00D94B9B" w:rsidRDefault="003A648E" w:rsidP="003A648E">
      <w:pPr>
        <w:rPr>
          <w:rStyle w:val="SubtleEmphasis"/>
          <w:color w:val="auto"/>
        </w:rPr>
      </w:pPr>
      <w:r w:rsidRPr="00D94B9B">
        <w:rPr>
          <w:rStyle w:val="SubtleEmphasis"/>
          <w:color w:val="auto"/>
        </w:rPr>
        <w:t>* Acknowledgement refers to an automated service which generates a response and alerts engineers of a service failure; or where there is dialogue between the client and the engineer.</w:t>
      </w:r>
    </w:p>
    <w:p w14:paraId="57626A26" w14:textId="77777777" w:rsidR="003A648E" w:rsidRPr="00D94B9B" w:rsidRDefault="003A648E" w:rsidP="003A648E">
      <w:pPr>
        <w:rPr>
          <w:rStyle w:val="SubtleEmphasis"/>
          <w:color w:val="auto"/>
        </w:rPr>
      </w:pPr>
      <w:r w:rsidRPr="00D94B9B">
        <w:rPr>
          <w:rStyle w:val="SubtleEmphasis"/>
          <w:color w:val="auto"/>
        </w:rPr>
        <w:t xml:space="preserve"> ** Node4 will use reasonable endeavours to adhere to the </w:t>
      </w:r>
      <w:proofErr w:type="spellStart"/>
      <w:r w:rsidRPr="00D94B9B">
        <w:rPr>
          <w:rStyle w:val="SubtleEmphasis"/>
          <w:color w:val="auto"/>
        </w:rPr>
        <w:t>TTRF</w:t>
      </w:r>
      <w:proofErr w:type="spellEnd"/>
      <w:r w:rsidRPr="00D94B9B">
        <w:rPr>
          <w:rStyle w:val="SubtleEmphasis"/>
          <w:color w:val="auto"/>
        </w:rPr>
        <w:t xml:space="preserve"> guidelines. Where fault resolution involves third parties, or hardware replacement, then this is subject to the support contracts in place with those parties.</w:t>
      </w:r>
    </w:p>
    <w:p w14:paraId="758F2A6A" w14:textId="3EADBAD4" w:rsidR="003A648E" w:rsidRPr="00600920" w:rsidRDefault="008A7CB3" w:rsidP="008A7CB3">
      <w:pPr>
        <w:pStyle w:val="Heading3"/>
      </w:pPr>
      <w:bookmarkStart w:id="37" w:name="_Toc464487879"/>
      <w:r>
        <w:t>Fault d</w:t>
      </w:r>
      <w:r w:rsidR="003A648E" w:rsidRPr="00600920">
        <w:t>uration</w:t>
      </w:r>
      <w:bookmarkEnd w:id="37"/>
      <w:r w:rsidR="003A648E" w:rsidRPr="00600920">
        <w:t xml:space="preserve"> </w:t>
      </w:r>
    </w:p>
    <w:p w14:paraId="105B12F5" w14:textId="77777777" w:rsidR="003A648E" w:rsidRPr="000E69BA" w:rsidRDefault="003A648E" w:rsidP="003A648E">
      <w:r w:rsidRPr="00600920">
        <w:t xml:space="preserve">All faults recorded by the </w:t>
      </w:r>
      <w:r>
        <w:t>Node4 Monitoring</w:t>
      </w:r>
      <w:r w:rsidRPr="00600920">
        <w:t xml:space="preserve"> System will be reconciled against the corresponding fault ticket raised by the Technical Support Centre. The exact fault duration will be calculated as the elapsed time between the fault being reported to the Technical Support Centre and the time when Service is restored. </w:t>
      </w:r>
    </w:p>
    <w:p w14:paraId="10F2EA98" w14:textId="634F19DE" w:rsidR="003A648E" w:rsidRDefault="003A648E" w:rsidP="003A648E">
      <w:pPr>
        <w:pStyle w:val="Heading2"/>
      </w:pPr>
      <w:bookmarkStart w:id="38" w:name="_Toc464487880"/>
      <w:r w:rsidRPr="00600920">
        <w:t>S</w:t>
      </w:r>
      <w:r w:rsidR="008A7CB3">
        <w:t xml:space="preserve">ervice Credits </w:t>
      </w:r>
      <w:bookmarkEnd w:id="38"/>
    </w:p>
    <w:p w14:paraId="521E756D" w14:textId="77777777" w:rsidR="003A648E" w:rsidRPr="008A7CB3" w:rsidRDefault="003A648E" w:rsidP="008A7CB3">
      <w:pPr>
        <w:pStyle w:val="Heading3"/>
        <w:rPr>
          <w:caps/>
        </w:rPr>
      </w:pPr>
      <w:bookmarkStart w:id="39" w:name="_Toc464487881"/>
      <w:r w:rsidRPr="008A7CB3">
        <w:t>Incident resolution</w:t>
      </w:r>
    </w:p>
    <w:p w14:paraId="758BB6E1" w14:textId="77777777" w:rsidR="003A648E" w:rsidRDefault="003A648E" w:rsidP="003A648E">
      <w:r>
        <w:rPr>
          <w:lang w:val="en-CA"/>
        </w:rPr>
        <w:t xml:space="preserve">Calculated as the total number of closed incidents during a month which were resolved within the Time </w:t>
      </w:r>
      <w:r>
        <w:rPr>
          <w:lang w:val="en-CA"/>
        </w:rPr>
        <w:t>to resolve divided by the closed incidents that month with the result expressed as a percentage. (A minimum of 10 incidents are required during the month for Service Credits to be applicable)</w:t>
      </w:r>
    </w:p>
    <w:tbl>
      <w:tblPr>
        <w:tblStyle w:val="TableGrid"/>
        <w:tblW w:w="4585" w:type="dxa"/>
        <w:tblCellSpacing w:w="20"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2149"/>
        <w:gridCol w:w="2436"/>
      </w:tblGrid>
      <w:tr w:rsidR="003A648E" w:rsidRPr="00CA6DF9" w14:paraId="0BB21F3B" w14:textId="77777777" w:rsidTr="001A3EF7">
        <w:trPr>
          <w:trHeight w:val="215"/>
          <w:tblCellSpacing w:w="20" w:type="dxa"/>
        </w:trPr>
        <w:tc>
          <w:tcPr>
            <w:tcW w:w="2089" w:type="dxa"/>
            <w:shd w:val="clear" w:color="auto" w:fill="797979" w:themeFill="text1" w:themeFillTint="A6"/>
          </w:tcPr>
          <w:p w14:paraId="0BF3BF3E" w14:textId="77777777" w:rsidR="003A648E" w:rsidRPr="00BF2F2F" w:rsidRDefault="003A648E" w:rsidP="001A3EF7">
            <w:pPr>
              <w:jc w:val="left"/>
              <w:rPr>
                <w:color w:val="FFFFFF" w:themeColor="background1"/>
              </w:rPr>
            </w:pPr>
            <w:r>
              <w:rPr>
                <w:color w:val="FFFFFF" w:themeColor="background1"/>
              </w:rPr>
              <w:t>Incident Resolution</w:t>
            </w:r>
            <w:r w:rsidRPr="002D1AE8">
              <w:rPr>
                <w:color w:val="FFFFFF" w:themeColor="background1"/>
              </w:rPr>
              <w:t xml:space="preserve"> during Monthly Review Period</w:t>
            </w:r>
          </w:p>
        </w:tc>
        <w:tc>
          <w:tcPr>
            <w:tcW w:w="2376" w:type="dxa"/>
            <w:shd w:val="clear" w:color="auto" w:fill="797979" w:themeFill="text1" w:themeFillTint="A6"/>
          </w:tcPr>
          <w:p w14:paraId="20FC5769" w14:textId="77777777" w:rsidR="003A648E" w:rsidRPr="00BF2F2F" w:rsidRDefault="003A648E" w:rsidP="001A3EF7">
            <w:pPr>
              <w:jc w:val="left"/>
              <w:rPr>
                <w:color w:val="FFFFFF" w:themeColor="background1"/>
              </w:rPr>
            </w:pPr>
            <w:r w:rsidRPr="00E13CD1">
              <w:rPr>
                <w:rFonts w:cs="Arial"/>
                <w:color w:val="FFFFFF" w:themeColor="background1"/>
              </w:rPr>
              <w:t>Service Credit</w:t>
            </w:r>
            <w:r>
              <w:rPr>
                <w:rFonts w:cs="Arial"/>
                <w:color w:val="FFFFFF" w:themeColor="background1"/>
              </w:rPr>
              <w:t xml:space="preserve"> as a Percentage of the monthly fees for Managed Desktop Service</w:t>
            </w:r>
          </w:p>
        </w:tc>
      </w:tr>
      <w:tr w:rsidR="003A648E" w:rsidRPr="004E053A" w14:paraId="68FAD077" w14:textId="77777777" w:rsidTr="001A3EF7">
        <w:trPr>
          <w:trHeight w:val="229"/>
          <w:tblCellSpacing w:w="20" w:type="dxa"/>
        </w:trPr>
        <w:tc>
          <w:tcPr>
            <w:tcW w:w="2089" w:type="dxa"/>
            <w:shd w:val="clear" w:color="auto" w:fill="D9D9D9"/>
          </w:tcPr>
          <w:p w14:paraId="4B64C3DE" w14:textId="77777777" w:rsidR="003A648E" w:rsidRPr="00E13CD1" w:rsidRDefault="003A648E" w:rsidP="001A3EF7">
            <w:pPr>
              <w:rPr>
                <w:rFonts w:ascii="Calibri" w:hAnsi="Calibri"/>
                <w:color w:val="auto"/>
              </w:rPr>
            </w:pPr>
            <w:r>
              <w:rPr>
                <w:color w:val="auto"/>
              </w:rPr>
              <w:t>80</w:t>
            </w:r>
            <w:r w:rsidRPr="00E13CD1">
              <w:rPr>
                <w:color w:val="auto"/>
              </w:rPr>
              <w:t xml:space="preserve">% </w:t>
            </w:r>
            <w:r>
              <w:rPr>
                <w:color w:val="auto"/>
              </w:rPr>
              <w:t>or above</w:t>
            </w:r>
          </w:p>
        </w:tc>
        <w:tc>
          <w:tcPr>
            <w:tcW w:w="2376" w:type="dxa"/>
            <w:shd w:val="clear" w:color="auto" w:fill="D9D9D9"/>
          </w:tcPr>
          <w:p w14:paraId="73BB06A5" w14:textId="77777777" w:rsidR="003A648E" w:rsidRPr="004E053A" w:rsidRDefault="003A648E" w:rsidP="001A3EF7">
            <w:r>
              <w:t>N/A</w:t>
            </w:r>
          </w:p>
        </w:tc>
      </w:tr>
      <w:tr w:rsidR="003A648E" w:rsidRPr="004E053A" w14:paraId="5703164A" w14:textId="77777777" w:rsidTr="001A3EF7">
        <w:trPr>
          <w:trHeight w:val="229"/>
          <w:tblCellSpacing w:w="20" w:type="dxa"/>
        </w:trPr>
        <w:tc>
          <w:tcPr>
            <w:tcW w:w="2089" w:type="dxa"/>
            <w:shd w:val="clear" w:color="auto" w:fill="D9D9D9"/>
          </w:tcPr>
          <w:p w14:paraId="791C4E0D" w14:textId="77777777" w:rsidR="003A648E" w:rsidRPr="00E13CD1" w:rsidRDefault="003A648E" w:rsidP="001A3EF7">
            <w:pPr>
              <w:rPr>
                <w:color w:val="auto"/>
              </w:rPr>
            </w:pPr>
            <w:r>
              <w:rPr>
                <w:color w:val="auto"/>
              </w:rPr>
              <w:t>&lt;80% - 70%</w:t>
            </w:r>
          </w:p>
        </w:tc>
        <w:tc>
          <w:tcPr>
            <w:tcW w:w="2376" w:type="dxa"/>
            <w:shd w:val="clear" w:color="auto" w:fill="D9D9D9"/>
          </w:tcPr>
          <w:p w14:paraId="4DEB4D58" w14:textId="77777777" w:rsidR="003A648E" w:rsidRDefault="003A648E" w:rsidP="001A3EF7">
            <w:r>
              <w:t>5%</w:t>
            </w:r>
          </w:p>
        </w:tc>
      </w:tr>
      <w:tr w:rsidR="003A648E" w:rsidRPr="004E053A" w14:paraId="418C765D" w14:textId="77777777" w:rsidTr="001A3EF7">
        <w:trPr>
          <w:trHeight w:val="229"/>
          <w:tblCellSpacing w:w="20" w:type="dxa"/>
        </w:trPr>
        <w:tc>
          <w:tcPr>
            <w:tcW w:w="2089" w:type="dxa"/>
            <w:shd w:val="clear" w:color="auto" w:fill="D9D9D9"/>
          </w:tcPr>
          <w:p w14:paraId="2C7AEF3F" w14:textId="77777777" w:rsidR="003A648E" w:rsidRPr="00E13CD1" w:rsidRDefault="003A648E" w:rsidP="001A3EF7">
            <w:pPr>
              <w:rPr>
                <w:color w:val="auto"/>
              </w:rPr>
            </w:pPr>
            <w:r w:rsidRPr="00E13CD1">
              <w:rPr>
                <w:color w:val="auto"/>
              </w:rPr>
              <w:t>Less than 70%</w:t>
            </w:r>
          </w:p>
        </w:tc>
        <w:tc>
          <w:tcPr>
            <w:tcW w:w="2376" w:type="dxa"/>
            <w:shd w:val="clear" w:color="auto" w:fill="D9D9D9"/>
          </w:tcPr>
          <w:p w14:paraId="03391FFA" w14:textId="77777777" w:rsidR="003A648E" w:rsidRDefault="003A648E" w:rsidP="001A3EF7">
            <w:r>
              <w:t>10%</w:t>
            </w:r>
          </w:p>
        </w:tc>
      </w:tr>
    </w:tbl>
    <w:p w14:paraId="44A59EA3" w14:textId="77777777" w:rsidR="003A648E" w:rsidRPr="003D3BC7" w:rsidRDefault="003A648E" w:rsidP="003A648E">
      <w:pPr>
        <w:rPr>
          <w:highlight w:val="yellow"/>
        </w:rPr>
      </w:pPr>
    </w:p>
    <w:p w14:paraId="20C39D52" w14:textId="0B271040" w:rsidR="003A648E" w:rsidRPr="008A7CB3" w:rsidRDefault="003A648E" w:rsidP="008A7CB3">
      <w:pPr>
        <w:pStyle w:val="Heading3"/>
      </w:pPr>
      <w:r w:rsidRPr="008A7CB3">
        <w:t xml:space="preserve">Service </w:t>
      </w:r>
      <w:r w:rsidR="008A7CB3">
        <w:t>d</w:t>
      </w:r>
      <w:r w:rsidRPr="008A7CB3">
        <w:t xml:space="preserve">esk </w:t>
      </w:r>
      <w:r w:rsidR="008A7CB3">
        <w:t>s</w:t>
      </w:r>
      <w:r w:rsidRPr="008A7CB3">
        <w:t>peed of answer</w:t>
      </w:r>
    </w:p>
    <w:p w14:paraId="0B771EEB" w14:textId="77777777" w:rsidR="003A648E" w:rsidRDefault="003A648E" w:rsidP="003A648E">
      <w:r>
        <w:rPr>
          <w:lang w:val="en-CA"/>
        </w:rPr>
        <w:t>Calculated as the total number of calls to the Service Desk during a month for which the calls were answered within 30 seconds during the service hours divided by the total calls to the Service Desk that month with the result expressed as a percentage. (A minimum of 10 calls during the month for Service Credits to be applicable)</w:t>
      </w:r>
    </w:p>
    <w:tbl>
      <w:tblPr>
        <w:tblStyle w:val="TableGrid"/>
        <w:tblW w:w="4585" w:type="dxa"/>
        <w:tblCellSpacing w:w="20"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2149"/>
        <w:gridCol w:w="2436"/>
      </w:tblGrid>
      <w:tr w:rsidR="003A648E" w:rsidRPr="00CA6DF9" w14:paraId="23848DCA" w14:textId="77777777" w:rsidTr="001A3EF7">
        <w:trPr>
          <w:trHeight w:val="215"/>
          <w:tblCellSpacing w:w="20" w:type="dxa"/>
        </w:trPr>
        <w:tc>
          <w:tcPr>
            <w:tcW w:w="2089" w:type="dxa"/>
            <w:shd w:val="clear" w:color="auto" w:fill="797979" w:themeFill="text1" w:themeFillTint="A6"/>
          </w:tcPr>
          <w:p w14:paraId="73E9E5D3" w14:textId="77777777" w:rsidR="003A648E" w:rsidRPr="00BF2F2F" w:rsidRDefault="003A648E" w:rsidP="001A3EF7">
            <w:pPr>
              <w:jc w:val="left"/>
              <w:rPr>
                <w:color w:val="FFFFFF" w:themeColor="background1"/>
              </w:rPr>
            </w:pPr>
            <w:r>
              <w:rPr>
                <w:color w:val="FFFFFF" w:themeColor="background1"/>
              </w:rPr>
              <w:t>Service Desk Speed of Answer</w:t>
            </w:r>
            <w:r w:rsidRPr="002D1AE8">
              <w:rPr>
                <w:color w:val="FFFFFF" w:themeColor="background1"/>
              </w:rPr>
              <w:t xml:space="preserve"> during Monthly Review Period</w:t>
            </w:r>
          </w:p>
        </w:tc>
        <w:tc>
          <w:tcPr>
            <w:tcW w:w="2376" w:type="dxa"/>
            <w:shd w:val="clear" w:color="auto" w:fill="797979" w:themeFill="text1" w:themeFillTint="A6"/>
          </w:tcPr>
          <w:p w14:paraId="6F22C24A" w14:textId="77777777" w:rsidR="003A648E" w:rsidRPr="00BF2F2F" w:rsidRDefault="003A648E" w:rsidP="001A3EF7">
            <w:pPr>
              <w:jc w:val="left"/>
              <w:rPr>
                <w:color w:val="FFFFFF" w:themeColor="background1"/>
              </w:rPr>
            </w:pPr>
            <w:r w:rsidRPr="00E13CD1">
              <w:rPr>
                <w:rFonts w:cs="Arial"/>
                <w:color w:val="FFFFFF" w:themeColor="background1"/>
              </w:rPr>
              <w:t>Service Credit</w:t>
            </w:r>
            <w:r>
              <w:rPr>
                <w:rFonts w:cs="Arial"/>
                <w:color w:val="FFFFFF" w:themeColor="background1"/>
              </w:rPr>
              <w:t xml:space="preserve"> as a Percentage of the monthly fees for Managed Desktop Service</w:t>
            </w:r>
          </w:p>
        </w:tc>
      </w:tr>
      <w:tr w:rsidR="003A648E" w:rsidRPr="004E053A" w14:paraId="1367E200" w14:textId="77777777" w:rsidTr="001A3EF7">
        <w:trPr>
          <w:trHeight w:val="229"/>
          <w:tblCellSpacing w:w="20" w:type="dxa"/>
        </w:trPr>
        <w:tc>
          <w:tcPr>
            <w:tcW w:w="2089" w:type="dxa"/>
            <w:shd w:val="clear" w:color="auto" w:fill="D9D9D9"/>
          </w:tcPr>
          <w:p w14:paraId="2F40506E" w14:textId="77777777" w:rsidR="003A648E" w:rsidRPr="00E13CD1" w:rsidRDefault="003A648E" w:rsidP="001A3EF7">
            <w:pPr>
              <w:rPr>
                <w:rFonts w:ascii="Calibri" w:hAnsi="Calibri"/>
                <w:color w:val="auto"/>
              </w:rPr>
            </w:pPr>
            <w:r w:rsidRPr="00E13CD1">
              <w:rPr>
                <w:color w:val="auto"/>
              </w:rPr>
              <w:t xml:space="preserve">90% </w:t>
            </w:r>
            <w:r>
              <w:rPr>
                <w:color w:val="auto"/>
              </w:rPr>
              <w:t>or above</w:t>
            </w:r>
          </w:p>
        </w:tc>
        <w:tc>
          <w:tcPr>
            <w:tcW w:w="2376" w:type="dxa"/>
            <w:shd w:val="clear" w:color="auto" w:fill="D9D9D9"/>
          </w:tcPr>
          <w:p w14:paraId="515A61D4" w14:textId="77777777" w:rsidR="003A648E" w:rsidRPr="004E053A" w:rsidRDefault="003A648E" w:rsidP="001A3EF7">
            <w:r>
              <w:t>N/A</w:t>
            </w:r>
          </w:p>
        </w:tc>
      </w:tr>
      <w:tr w:rsidR="003A648E" w:rsidRPr="004E053A" w14:paraId="62EA4F81" w14:textId="77777777" w:rsidTr="001A3EF7">
        <w:trPr>
          <w:trHeight w:val="229"/>
          <w:tblCellSpacing w:w="20" w:type="dxa"/>
        </w:trPr>
        <w:tc>
          <w:tcPr>
            <w:tcW w:w="2089" w:type="dxa"/>
            <w:shd w:val="clear" w:color="auto" w:fill="D9D9D9"/>
          </w:tcPr>
          <w:p w14:paraId="1355E7A1" w14:textId="77777777" w:rsidR="003A648E" w:rsidRPr="00E13CD1" w:rsidRDefault="003A648E" w:rsidP="001A3EF7">
            <w:pPr>
              <w:rPr>
                <w:color w:val="auto"/>
              </w:rPr>
            </w:pPr>
            <w:r>
              <w:rPr>
                <w:color w:val="auto"/>
              </w:rPr>
              <w:t>&lt;90% - 70%</w:t>
            </w:r>
          </w:p>
        </w:tc>
        <w:tc>
          <w:tcPr>
            <w:tcW w:w="2376" w:type="dxa"/>
            <w:shd w:val="clear" w:color="auto" w:fill="D9D9D9"/>
          </w:tcPr>
          <w:p w14:paraId="61A3C5DB" w14:textId="77777777" w:rsidR="003A648E" w:rsidRDefault="003A648E" w:rsidP="001A3EF7">
            <w:r>
              <w:t>5%</w:t>
            </w:r>
          </w:p>
        </w:tc>
      </w:tr>
      <w:tr w:rsidR="003A648E" w:rsidRPr="004E053A" w14:paraId="1D05FD4D" w14:textId="77777777" w:rsidTr="001A3EF7">
        <w:trPr>
          <w:trHeight w:val="229"/>
          <w:tblCellSpacing w:w="20" w:type="dxa"/>
        </w:trPr>
        <w:tc>
          <w:tcPr>
            <w:tcW w:w="2089" w:type="dxa"/>
            <w:shd w:val="clear" w:color="auto" w:fill="D9D9D9"/>
          </w:tcPr>
          <w:p w14:paraId="51F8E5BF" w14:textId="77777777" w:rsidR="003A648E" w:rsidRPr="00E13CD1" w:rsidRDefault="003A648E" w:rsidP="001A3EF7">
            <w:pPr>
              <w:rPr>
                <w:color w:val="auto"/>
              </w:rPr>
            </w:pPr>
            <w:r w:rsidRPr="00E13CD1">
              <w:rPr>
                <w:color w:val="auto"/>
              </w:rPr>
              <w:t>Less than 70%</w:t>
            </w:r>
          </w:p>
        </w:tc>
        <w:tc>
          <w:tcPr>
            <w:tcW w:w="2376" w:type="dxa"/>
            <w:shd w:val="clear" w:color="auto" w:fill="D9D9D9"/>
          </w:tcPr>
          <w:p w14:paraId="5492C114" w14:textId="77777777" w:rsidR="003A648E" w:rsidRDefault="003A648E" w:rsidP="001A3EF7">
            <w:r>
              <w:t>10%</w:t>
            </w:r>
          </w:p>
        </w:tc>
      </w:tr>
    </w:tbl>
    <w:p w14:paraId="09D32F12" w14:textId="77777777" w:rsidR="003A648E" w:rsidRDefault="003A648E" w:rsidP="003A648E">
      <w:pPr>
        <w:pStyle w:val="Level3numbered"/>
        <w:numPr>
          <w:ilvl w:val="0"/>
          <w:numId w:val="0"/>
        </w:numPr>
      </w:pPr>
    </w:p>
    <w:p w14:paraId="05C16C95" w14:textId="701209C7" w:rsidR="003A648E" w:rsidRPr="008A7CB3" w:rsidRDefault="003A648E" w:rsidP="008A7CB3">
      <w:pPr>
        <w:pStyle w:val="Heading3"/>
      </w:pPr>
      <w:r w:rsidRPr="00D668A1">
        <w:t xml:space="preserve">Service desk </w:t>
      </w:r>
      <w:proofErr w:type="spellStart"/>
      <w:r w:rsidR="008A7CB3">
        <w:t>s</w:t>
      </w:r>
      <w:r w:rsidRPr="00D668A1">
        <w:t xml:space="preserve">elf </w:t>
      </w:r>
      <w:r w:rsidR="008A7CB3">
        <w:t>s</w:t>
      </w:r>
      <w:r w:rsidRPr="00D668A1">
        <w:t>ervice</w:t>
      </w:r>
      <w:proofErr w:type="spellEnd"/>
      <w:r w:rsidRPr="00D668A1">
        <w:t xml:space="preserve"> response</w:t>
      </w:r>
    </w:p>
    <w:p w14:paraId="686F3597" w14:textId="77777777" w:rsidR="003A648E" w:rsidRDefault="003A648E" w:rsidP="003A648E">
      <w:r>
        <w:t>C</w:t>
      </w:r>
      <w:proofErr w:type="spellStart"/>
      <w:r>
        <w:rPr>
          <w:lang w:val="en-CA"/>
        </w:rPr>
        <w:t>alculated</w:t>
      </w:r>
      <w:proofErr w:type="spellEnd"/>
      <w:r>
        <w:rPr>
          <w:lang w:val="en-CA"/>
        </w:rPr>
        <w:t xml:space="preserve"> as the total number of Self Service Tickets raised during a month by Customer to which an initial response is provided by a Service Desk agent within 1 hour during the service hours divided by the total number of Service tickets that month with the result expressed as a percentage. (A minimum </w:t>
      </w:r>
      <w:r>
        <w:rPr>
          <w:lang w:val="en-CA"/>
        </w:rPr>
        <w:lastRenderedPageBreak/>
        <w:t>of 10 self service tickets during the month for Service Credits to be applicable)</w:t>
      </w:r>
    </w:p>
    <w:tbl>
      <w:tblPr>
        <w:tblStyle w:val="TableGrid"/>
        <w:tblW w:w="4585" w:type="dxa"/>
        <w:tblCellSpacing w:w="20"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2149"/>
        <w:gridCol w:w="2436"/>
      </w:tblGrid>
      <w:tr w:rsidR="003A648E" w:rsidRPr="00BF2F2F" w14:paraId="612D0FB5" w14:textId="77777777" w:rsidTr="001A3EF7">
        <w:trPr>
          <w:trHeight w:val="215"/>
          <w:tblCellSpacing w:w="20" w:type="dxa"/>
        </w:trPr>
        <w:tc>
          <w:tcPr>
            <w:tcW w:w="2089" w:type="dxa"/>
            <w:shd w:val="clear" w:color="auto" w:fill="797979" w:themeFill="text1" w:themeFillTint="A6"/>
          </w:tcPr>
          <w:p w14:paraId="0D67DB2B" w14:textId="77777777" w:rsidR="003A648E" w:rsidRPr="00BF2F2F" w:rsidRDefault="003A648E" w:rsidP="001A3EF7">
            <w:pPr>
              <w:jc w:val="left"/>
              <w:rPr>
                <w:color w:val="FFFFFF" w:themeColor="background1"/>
              </w:rPr>
            </w:pPr>
            <w:r>
              <w:rPr>
                <w:color w:val="FFFFFF" w:themeColor="background1"/>
              </w:rPr>
              <w:t>Service Desk Self Service Response</w:t>
            </w:r>
            <w:r w:rsidRPr="002D1AE8">
              <w:rPr>
                <w:color w:val="FFFFFF" w:themeColor="background1"/>
              </w:rPr>
              <w:t xml:space="preserve"> during Monthly Review Period</w:t>
            </w:r>
          </w:p>
        </w:tc>
        <w:tc>
          <w:tcPr>
            <w:tcW w:w="2376" w:type="dxa"/>
            <w:shd w:val="clear" w:color="auto" w:fill="797979" w:themeFill="text1" w:themeFillTint="A6"/>
          </w:tcPr>
          <w:p w14:paraId="644FB704" w14:textId="77777777" w:rsidR="003A648E" w:rsidRPr="00BF2F2F" w:rsidRDefault="003A648E" w:rsidP="001A3EF7">
            <w:pPr>
              <w:jc w:val="left"/>
              <w:rPr>
                <w:color w:val="FFFFFF" w:themeColor="background1"/>
              </w:rPr>
            </w:pPr>
            <w:r w:rsidRPr="00E13CD1">
              <w:rPr>
                <w:rFonts w:cs="Arial"/>
                <w:color w:val="FFFFFF" w:themeColor="background1"/>
              </w:rPr>
              <w:t>Service Credit</w:t>
            </w:r>
            <w:r>
              <w:rPr>
                <w:rFonts w:cs="Arial"/>
                <w:color w:val="FFFFFF" w:themeColor="background1"/>
              </w:rPr>
              <w:t xml:space="preserve"> as a Percentage of the monthly fees for Managed Desktop Service</w:t>
            </w:r>
          </w:p>
        </w:tc>
      </w:tr>
      <w:tr w:rsidR="003A648E" w:rsidRPr="004E053A" w14:paraId="00FD3581" w14:textId="77777777" w:rsidTr="001A3EF7">
        <w:trPr>
          <w:trHeight w:val="229"/>
          <w:tblCellSpacing w:w="20" w:type="dxa"/>
        </w:trPr>
        <w:tc>
          <w:tcPr>
            <w:tcW w:w="2089" w:type="dxa"/>
            <w:shd w:val="clear" w:color="auto" w:fill="D9D9D9"/>
          </w:tcPr>
          <w:p w14:paraId="18C08B3E" w14:textId="77777777" w:rsidR="003A648E" w:rsidRPr="00E13CD1" w:rsidRDefault="003A648E" w:rsidP="001A3EF7">
            <w:pPr>
              <w:rPr>
                <w:rFonts w:ascii="Calibri" w:hAnsi="Calibri"/>
                <w:color w:val="auto"/>
              </w:rPr>
            </w:pPr>
            <w:r w:rsidRPr="00E13CD1">
              <w:rPr>
                <w:color w:val="auto"/>
              </w:rPr>
              <w:t xml:space="preserve">90% </w:t>
            </w:r>
            <w:r>
              <w:rPr>
                <w:color w:val="auto"/>
              </w:rPr>
              <w:t>or above</w:t>
            </w:r>
          </w:p>
        </w:tc>
        <w:tc>
          <w:tcPr>
            <w:tcW w:w="2376" w:type="dxa"/>
            <w:shd w:val="clear" w:color="auto" w:fill="D9D9D9"/>
          </w:tcPr>
          <w:p w14:paraId="2DAA7FFF" w14:textId="77777777" w:rsidR="003A648E" w:rsidRPr="004E053A" w:rsidRDefault="003A648E" w:rsidP="001A3EF7">
            <w:r>
              <w:t>N/A</w:t>
            </w:r>
          </w:p>
        </w:tc>
      </w:tr>
      <w:tr w:rsidR="003A648E" w14:paraId="29F10DF6" w14:textId="77777777" w:rsidTr="001A3EF7">
        <w:trPr>
          <w:trHeight w:val="229"/>
          <w:tblCellSpacing w:w="20" w:type="dxa"/>
        </w:trPr>
        <w:tc>
          <w:tcPr>
            <w:tcW w:w="2089" w:type="dxa"/>
            <w:shd w:val="clear" w:color="auto" w:fill="D9D9D9"/>
          </w:tcPr>
          <w:p w14:paraId="0CFA3D81" w14:textId="77777777" w:rsidR="003A648E" w:rsidRPr="00E13CD1" w:rsidRDefault="003A648E" w:rsidP="001A3EF7">
            <w:pPr>
              <w:rPr>
                <w:color w:val="auto"/>
              </w:rPr>
            </w:pPr>
            <w:r>
              <w:rPr>
                <w:color w:val="auto"/>
              </w:rPr>
              <w:t>&lt;90% - 70%</w:t>
            </w:r>
          </w:p>
        </w:tc>
        <w:tc>
          <w:tcPr>
            <w:tcW w:w="2376" w:type="dxa"/>
            <w:shd w:val="clear" w:color="auto" w:fill="D9D9D9"/>
          </w:tcPr>
          <w:p w14:paraId="771634B5" w14:textId="77777777" w:rsidR="003A648E" w:rsidRDefault="003A648E" w:rsidP="001A3EF7">
            <w:r>
              <w:t>5%</w:t>
            </w:r>
          </w:p>
        </w:tc>
      </w:tr>
      <w:tr w:rsidR="003A648E" w14:paraId="4F9E294A" w14:textId="77777777" w:rsidTr="001A3EF7">
        <w:trPr>
          <w:trHeight w:val="229"/>
          <w:tblCellSpacing w:w="20" w:type="dxa"/>
        </w:trPr>
        <w:tc>
          <w:tcPr>
            <w:tcW w:w="2089" w:type="dxa"/>
            <w:shd w:val="clear" w:color="auto" w:fill="D9D9D9"/>
          </w:tcPr>
          <w:p w14:paraId="1FB15E87" w14:textId="77777777" w:rsidR="003A648E" w:rsidRPr="00E13CD1" w:rsidRDefault="003A648E" w:rsidP="001A3EF7">
            <w:pPr>
              <w:rPr>
                <w:color w:val="auto"/>
              </w:rPr>
            </w:pPr>
            <w:r w:rsidRPr="00E13CD1">
              <w:rPr>
                <w:color w:val="auto"/>
              </w:rPr>
              <w:t>Less than 70%</w:t>
            </w:r>
          </w:p>
        </w:tc>
        <w:tc>
          <w:tcPr>
            <w:tcW w:w="2376" w:type="dxa"/>
            <w:shd w:val="clear" w:color="auto" w:fill="D9D9D9"/>
          </w:tcPr>
          <w:p w14:paraId="72841172" w14:textId="77777777" w:rsidR="003A648E" w:rsidRDefault="003A648E" w:rsidP="001A3EF7">
            <w:r>
              <w:t>10%</w:t>
            </w:r>
          </w:p>
        </w:tc>
      </w:tr>
    </w:tbl>
    <w:p w14:paraId="01A2E4DD" w14:textId="77777777" w:rsidR="003A648E" w:rsidRPr="00AE249E" w:rsidRDefault="003A648E" w:rsidP="003A648E">
      <w:pPr>
        <w:rPr>
          <w:highlight w:val="yellow"/>
        </w:rPr>
      </w:pPr>
    </w:p>
    <w:p w14:paraId="613291C1" w14:textId="77777777" w:rsidR="003A648E" w:rsidRDefault="003A648E" w:rsidP="008A7CB3">
      <w:pPr>
        <w:pStyle w:val="Heading3"/>
      </w:pPr>
      <w:bookmarkStart w:id="40" w:name="_Toc464487882"/>
      <w:bookmarkEnd w:id="39"/>
      <w:r w:rsidRPr="00600920">
        <w:t>Calculation of Service Credits</w:t>
      </w:r>
      <w:bookmarkEnd w:id="40"/>
      <w:r w:rsidRPr="00600920">
        <w:t xml:space="preserve"> </w:t>
      </w:r>
    </w:p>
    <w:p w14:paraId="6C0E7E0A" w14:textId="77777777" w:rsidR="003A648E" w:rsidRPr="00600920" w:rsidRDefault="003A648E" w:rsidP="003A648E">
      <w:r w:rsidRPr="00600920">
        <w:t xml:space="preserve">Where a Monthly Review Period incorporates part of a month, any service credit will apply to a pro-rated monthly Rental Charge. </w:t>
      </w:r>
    </w:p>
    <w:p w14:paraId="030644A4" w14:textId="77777777" w:rsidR="003A648E" w:rsidRPr="00600920" w:rsidRDefault="003A648E" w:rsidP="003A648E">
      <w:r w:rsidRPr="00600920">
        <w:t xml:space="preserve">Service credits will be calculated monthly, aggregated and credited to the Customer on a quarterly basis. </w:t>
      </w:r>
    </w:p>
    <w:p w14:paraId="2283F68F" w14:textId="77777777" w:rsidR="003A648E" w:rsidRPr="00600920" w:rsidRDefault="003A648E" w:rsidP="003A648E">
      <w:r w:rsidRPr="00600920">
        <w:t xml:space="preserve">If a Service is cancelled during a Monthly Review Period, no service credit will be payable in respect of that circuit for that Monthly Review Period. </w:t>
      </w:r>
    </w:p>
    <w:p w14:paraId="3B96A185" w14:textId="77777777" w:rsidR="003A648E" w:rsidRPr="000E69BA" w:rsidRDefault="003A648E" w:rsidP="003A648E">
      <w:r w:rsidRPr="00600920">
        <w:t>The Customer must claim any service credit due to a failure to meet the Service Levels, in writing, within twenty one (21) Business Days of the date at which the Customer could reasonably be expected to become aware of such failure, otherwise no service credits shall be payable. The Customer shall not be entitled to any service credits in respect of a claim unless and until Node4 has received notice of the claim in writing in accordance with the above. Should Node4 require additional information from the Customer, the Customer shall assist, and shall not be entitled to any service credits until Node4 has received all the information it has reasonably requested.</w:t>
      </w:r>
    </w:p>
    <w:p w14:paraId="1CBF466F" w14:textId="77777777" w:rsidR="003A648E" w:rsidRPr="00600920" w:rsidRDefault="003A648E" w:rsidP="008A7CB3">
      <w:pPr>
        <w:pStyle w:val="Heading3"/>
      </w:pPr>
      <w:bookmarkStart w:id="41" w:name="_Toc464487883"/>
      <w:r w:rsidRPr="00600920">
        <w:t>Exclusions to Payment of Service Credits</w:t>
      </w:r>
      <w:bookmarkEnd w:id="41"/>
      <w:r w:rsidRPr="00600920">
        <w:t xml:space="preserve"> </w:t>
      </w:r>
    </w:p>
    <w:p w14:paraId="70FDBF00" w14:textId="77777777" w:rsidR="003A648E" w:rsidRDefault="003A648E" w:rsidP="003A648E">
      <w:r w:rsidRPr="00600920">
        <w:t xml:space="preserve">Without prejudice to or limitation of the definition of Service Availability, service credits will not be payable by Node4 to the Customer in relation to the Service Availability for faults or disruptions to the Services caused by any of the following: </w:t>
      </w:r>
    </w:p>
    <w:p w14:paraId="5195696C" w14:textId="77777777" w:rsidR="003A648E" w:rsidRPr="00600920" w:rsidRDefault="003A648E" w:rsidP="003A648E">
      <w:pPr>
        <w:pStyle w:val="ListParagraph"/>
        <w:numPr>
          <w:ilvl w:val="0"/>
          <w:numId w:val="36"/>
        </w:numPr>
        <w:jc w:val="left"/>
      </w:pPr>
      <w:r w:rsidRPr="00600920">
        <w:t>The fault, action or negligence of the Customer, its employees, agents or contractors;</w:t>
      </w:r>
    </w:p>
    <w:p w14:paraId="6BFA28FA" w14:textId="77777777" w:rsidR="003A648E" w:rsidRPr="00600920" w:rsidRDefault="003A648E" w:rsidP="003A648E">
      <w:pPr>
        <w:pStyle w:val="ListParagraph"/>
        <w:numPr>
          <w:ilvl w:val="0"/>
          <w:numId w:val="36"/>
        </w:numPr>
        <w:jc w:val="left"/>
      </w:pPr>
      <w:r w:rsidRPr="00600920">
        <w:t xml:space="preserve">The Customer failing to comply with the provisions of the Agreement; </w:t>
      </w:r>
    </w:p>
    <w:p w14:paraId="7702E95E" w14:textId="77777777" w:rsidR="003A648E" w:rsidRPr="00600920" w:rsidRDefault="003A648E" w:rsidP="003A648E">
      <w:pPr>
        <w:pStyle w:val="ListParagraph"/>
        <w:numPr>
          <w:ilvl w:val="0"/>
          <w:numId w:val="36"/>
        </w:numPr>
        <w:jc w:val="left"/>
      </w:pPr>
      <w:r w:rsidRPr="00600920">
        <w:t xml:space="preserve">A fault in, or any other problem associated with, equipment connected on the Customer’s side of the Node4 Network termination point, except where such fault or problem is directly caused by the fault, action or negligence of Node4, its employees, agents or contractors; </w:t>
      </w:r>
    </w:p>
    <w:p w14:paraId="45BFA060" w14:textId="77777777" w:rsidR="003A648E" w:rsidRPr="00600920" w:rsidRDefault="003A648E" w:rsidP="003A648E">
      <w:pPr>
        <w:pStyle w:val="ListParagraph"/>
        <w:numPr>
          <w:ilvl w:val="0"/>
          <w:numId w:val="36"/>
        </w:numPr>
        <w:jc w:val="left"/>
      </w:pPr>
      <w:r w:rsidRPr="00600920">
        <w:t xml:space="preserve">Any event described in </w:t>
      </w:r>
      <w:r>
        <w:t>Clause 10</w:t>
      </w:r>
      <w:r w:rsidRPr="00600920">
        <w:t xml:space="preserve"> (Force Majeure) of Node4’s Terms and Conditions; </w:t>
      </w:r>
    </w:p>
    <w:p w14:paraId="63786BFF" w14:textId="77777777" w:rsidR="003A648E" w:rsidRPr="00600920" w:rsidRDefault="003A648E" w:rsidP="003A648E">
      <w:pPr>
        <w:pStyle w:val="ListParagraph"/>
        <w:numPr>
          <w:ilvl w:val="0"/>
          <w:numId w:val="36"/>
        </w:numPr>
        <w:jc w:val="left"/>
      </w:pPr>
      <w:r w:rsidRPr="00600920">
        <w:t xml:space="preserve">Any Planned Outage. </w:t>
      </w:r>
    </w:p>
    <w:p w14:paraId="1DD40FC6" w14:textId="77777777" w:rsidR="003A648E" w:rsidRPr="00B81D63" w:rsidRDefault="003A648E" w:rsidP="003A648E">
      <w:r w:rsidRPr="00600920">
        <w:t>Service credits are not applicable for more than one breach of any targets outlined in this document arising from the same occurrence.</w:t>
      </w:r>
    </w:p>
    <w:p w14:paraId="0E4CD6F4" w14:textId="77777777" w:rsidR="003A648E" w:rsidRPr="00600920" w:rsidRDefault="003A648E" w:rsidP="003A648E"/>
    <w:p w14:paraId="2878B7A7" w14:textId="705CC9E1" w:rsidR="70CA1BE2" w:rsidRDefault="70CA1BE2" w:rsidP="70CA1BE2"/>
    <w:p w14:paraId="28D8A15E" w14:textId="0DD23317" w:rsidR="70CA1BE2" w:rsidRDefault="70CA1BE2" w:rsidP="70CA1BE2"/>
    <w:p w14:paraId="5E65A846" w14:textId="15404A3D" w:rsidR="70CA1BE2" w:rsidRDefault="70CA1BE2" w:rsidP="70CA1BE2"/>
    <w:p w14:paraId="052A7FAC" w14:textId="77777777" w:rsidR="00F4051C" w:rsidRDefault="00F4051C" w:rsidP="00E26340">
      <w:pPr>
        <w:rPr>
          <w:rFonts w:cs="Helvetica-Narrow"/>
        </w:rPr>
      </w:pPr>
    </w:p>
    <w:sectPr w:rsidR="00F4051C" w:rsidSect="00CD0668">
      <w:headerReference w:type="default" r:id="rId16"/>
      <w:footerReference w:type="even" r:id="rId17"/>
      <w:footerReference w:type="default" r:id="rId18"/>
      <w:headerReference w:type="first" r:id="rId19"/>
      <w:footerReference w:type="first" r:id="rId20"/>
      <w:type w:val="continuous"/>
      <w:pgSz w:w="11900" w:h="16820"/>
      <w:pgMar w:top="1843" w:right="991" w:bottom="1560" w:left="993" w:header="709" w:footer="48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FFC31" w14:textId="77777777" w:rsidR="00775F65" w:rsidRDefault="00775F65" w:rsidP="00763FA4">
      <w:pPr>
        <w:spacing w:after="0" w:line="240" w:lineRule="auto"/>
      </w:pPr>
      <w:r>
        <w:separator/>
      </w:r>
    </w:p>
  </w:endnote>
  <w:endnote w:type="continuationSeparator" w:id="0">
    <w:p w14:paraId="070C3795" w14:textId="77777777" w:rsidR="00775F65" w:rsidRDefault="00775F65" w:rsidP="0076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F5F5" w14:textId="77777777" w:rsidR="00462B63" w:rsidRDefault="00462B63">
    <w:pPr>
      <w:pStyle w:val="Footer"/>
    </w:pPr>
  </w:p>
  <w:p w14:paraId="0E8778D2" w14:textId="77777777" w:rsidR="00462B63" w:rsidRDefault="00462B63">
    <w: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38D6" w14:textId="15D96AA2" w:rsidR="00462B63" w:rsidRPr="00C97C97" w:rsidRDefault="00462B63" w:rsidP="00CC645D">
    <w:pPr>
      <w:pStyle w:val="Footer"/>
      <w:rPr>
        <w:rFonts w:ascii="Trebuchet MS" w:hAnsi="Trebuchet MS"/>
        <w:color w:val="A6A6A6"/>
      </w:rPr>
    </w:pPr>
    <w:r>
      <w:rPr>
        <w:noProof/>
        <w:lang w:val="en-US"/>
      </w:rPr>
      <mc:AlternateContent>
        <mc:Choice Requires="wps">
          <w:drawing>
            <wp:anchor distT="4294967295" distB="4294967295" distL="114300" distR="114300" simplePos="0" relativeHeight="251659264" behindDoc="0" locked="0" layoutInCell="1" allowOverlap="1" wp14:anchorId="33378196" wp14:editId="5027DEEC">
              <wp:simplePos x="0" y="0"/>
              <wp:positionH relativeFrom="column">
                <wp:posOffset>-1023620</wp:posOffset>
              </wp:positionH>
              <wp:positionV relativeFrom="paragraph">
                <wp:posOffset>60959</wp:posOffset>
              </wp:positionV>
              <wp:extent cx="83947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chemeClr val="accent1"/>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5196BC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pt,4.8pt" to="580.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" strokecolor="#f79220 [3204]" strokeweight="2pt">
              <o:lock v:ext="edit" shapetype="f"/>
            </v:line>
          </w:pict>
        </mc:Fallback>
      </mc:AlternateContent>
    </w:r>
  </w:p>
  <w:p w14:paraId="7F4F41DB" w14:textId="0A2802E9" w:rsidR="00462B63" w:rsidRPr="00C97C97" w:rsidRDefault="00462B63" w:rsidP="00C97C97">
    <w:pPr>
      <w:pStyle w:val="NoSpacing"/>
      <w:tabs>
        <w:tab w:val="center" w:pos="4961"/>
        <w:tab w:val="right" w:pos="9922"/>
      </w:tabs>
      <w:ind w:right="484"/>
      <w:jc w:val="center"/>
      <w:rPr>
        <w:rFonts w:ascii="Trebuchet MS" w:eastAsia="MS Mincho" w:hAnsi="Trebuchet MS"/>
        <w:bCs/>
        <w:color w:val="F37321"/>
        <w:sz w:val="24"/>
        <w:szCs w:val="24"/>
      </w:rPr>
    </w:pPr>
    <w:r w:rsidRPr="008E3675">
      <w:rPr>
        <w:color w:val="8E908F"/>
        <w:sz w:val="18"/>
        <w:szCs w:val="18"/>
      </w:rPr>
      <w:tab/>
    </w:r>
    <w:sdt>
      <w:sdtPr>
        <w:rPr>
          <w:color w:val="8E908F"/>
          <w:sz w:val="18"/>
          <w:szCs w:val="18"/>
        </w:rPr>
        <w:alias w:val="Title"/>
        <w:tag w:val=""/>
        <w:id w:val="-597567685"/>
        <w:placeholder>
          <w:docPart w:val="50427EA1CB3D4A8D99CDDA77AE5C2155"/>
        </w:placeholder>
        <w:dataBinding w:prefixMappings="xmlns:ns0='http://purl.org/dc/elements/1.1/' xmlns:ns1='http://schemas.openxmlformats.org/package/2006/metadata/core-properties' " w:xpath="/ns1:coreProperties[1]/ns0:title[1]" w:storeItemID="{6C3C8BC8-F283-45AE-878A-BAB7291924A1}"/>
        <w:text/>
      </w:sdtPr>
      <w:sdtEndPr/>
      <w:sdtContent>
        <w:r w:rsidR="00F8436C">
          <w:rPr>
            <w:color w:val="8E908F"/>
            <w:sz w:val="18"/>
            <w:szCs w:val="18"/>
          </w:rPr>
          <w:t>Schedule document</w:t>
        </w:r>
      </w:sdtContent>
    </w:sdt>
    <w:r w:rsidRPr="006D16DC">
      <w:rPr>
        <w:color w:val="8E908F"/>
        <w:sz w:val="18"/>
        <w:szCs w:val="18"/>
      </w:rPr>
      <w:t xml:space="preserve"> | </w:t>
    </w:r>
    <w:sdt>
      <w:sdtPr>
        <w:rPr>
          <w:color w:val="8E908F"/>
          <w:sz w:val="18"/>
          <w:szCs w:val="18"/>
        </w:rPr>
        <w:alias w:val="Subject"/>
        <w:tag w:val=""/>
        <w:id w:val="1318616331"/>
        <w:placeholder>
          <w:docPart w:val="50427EA1CB3D4A8D99CDDA77AE5C2155"/>
        </w:placeholder>
        <w:dataBinding w:prefixMappings="xmlns:ns0='http://purl.org/dc/elements/1.1/' xmlns:ns1='http://schemas.openxmlformats.org/package/2006/metadata/core-properties' " w:xpath="/ns1:coreProperties[1]/ns0:subject[1]" w:storeItemID="{6C3C8BC8-F283-45AE-878A-BAB7291924A1}"/>
        <w:text/>
      </w:sdtPr>
      <w:sdtEndPr/>
      <w:sdtContent>
        <w:r w:rsidR="00A26862">
          <w:rPr>
            <w:color w:val="8E908F"/>
            <w:sz w:val="18"/>
            <w:szCs w:val="18"/>
          </w:rPr>
          <w:t>Managed desktop service</w:t>
        </w:r>
      </w:sdtContent>
    </w:sdt>
    <w:r w:rsidRPr="006D16DC">
      <w:rPr>
        <w:color w:val="8E908F"/>
        <w:sz w:val="18"/>
        <w:szCs w:val="18"/>
      </w:rPr>
      <w:t xml:space="preserve"> </w:t>
    </w:r>
    <w:r w:rsidRPr="006D16DC">
      <w:rPr>
        <w:color w:val="8E908F"/>
        <w:sz w:val="18"/>
        <w:szCs w:val="18"/>
      </w:rPr>
      <w:fldChar w:fldCharType="begin"/>
    </w:r>
    <w:r w:rsidRPr="006D16DC">
      <w:rPr>
        <w:color w:val="8E908F"/>
        <w:sz w:val="18"/>
        <w:szCs w:val="18"/>
      </w:rPr>
      <w:instrText xml:space="preserve"> DOCVARIABLE  "Security level"  \* MERGEFORMAT </w:instrText>
    </w:r>
    <w:r w:rsidRPr="006D16DC">
      <w:rPr>
        <w:color w:val="8E908F"/>
        <w:sz w:val="18"/>
        <w:szCs w:val="18"/>
      </w:rPr>
      <w:fldChar w:fldCharType="end"/>
    </w:r>
    <w:r w:rsidRPr="006D16DC">
      <w:rPr>
        <w:color w:val="8E908F"/>
        <w:sz w:val="18"/>
        <w:szCs w:val="18"/>
      </w:rPr>
      <w:t>|</w:t>
    </w:r>
    <w:r w:rsidRPr="006D16DC">
      <w:rPr>
        <w:rStyle w:val="Heading4Char"/>
        <w:caps w:val="0"/>
        <w:color w:val="8E908F"/>
        <w:sz w:val="18"/>
        <w:szCs w:val="18"/>
      </w:rPr>
      <w:t xml:space="preserve"> </w:t>
    </w:r>
    <w:sdt>
      <w:sdtPr>
        <w:rPr>
          <w:rStyle w:val="Footertxt"/>
        </w:rPr>
        <w:alias w:val="Security Level Output"/>
        <w:tag w:val="Security Level Output"/>
        <w:id w:val="1286077588"/>
        <w:placeholder>
          <w:docPart w:val="C3FE86D5B5754E4B8C26B5E0BE22EB98"/>
        </w:placeholder>
        <w:dataBinding w:prefixMappings="xmlns:ns0='Security Type' " w:xpath="/ns0:root[1]/ns0:Security[1]" w:storeItemID="{3B0260BB-1140-42BD-B14A-DF7052E49D72}"/>
        <w:text/>
      </w:sdtPr>
      <w:sdtEndPr>
        <w:rPr>
          <w:rStyle w:val="Footertxt"/>
        </w:rPr>
      </w:sdtEndPr>
      <w:sdtContent>
        <w:r>
          <w:rPr>
            <w:rStyle w:val="Footertxt"/>
          </w:rPr>
          <w:t>Public</w:t>
        </w:r>
      </w:sdtContent>
    </w:sdt>
    <w:r w:rsidRPr="006D16DC">
      <w:rPr>
        <w:color w:val="8E908F"/>
        <w:sz w:val="18"/>
        <w:szCs w:val="18"/>
      </w:rPr>
      <w:t xml:space="preserve"> </w:t>
    </w:r>
    <w:r w:rsidRPr="006D16DC">
      <w:rPr>
        <w:color w:val="8E908F"/>
        <w:sz w:val="18"/>
        <w:szCs w:val="18"/>
      </w:rPr>
      <w:fldChar w:fldCharType="begin"/>
    </w:r>
    <w:r w:rsidRPr="006D16DC">
      <w:rPr>
        <w:color w:val="8E908F"/>
        <w:sz w:val="18"/>
        <w:szCs w:val="18"/>
      </w:rPr>
      <w:instrText xml:space="preserve"> DOCVARIABLE  "Security level"  \* MERGEFORMAT </w:instrText>
    </w:r>
    <w:r w:rsidRPr="006D16DC">
      <w:rPr>
        <w:color w:val="8E908F"/>
        <w:sz w:val="18"/>
        <w:szCs w:val="18"/>
      </w:rPr>
      <w:fldChar w:fldCharType="end"/>
    </w:r>
    <w:r w:rsidRPr="006D16DC">
      <w:rPr>
        <w:color w:val="8E908F"/>
        <w:sz w:val="18"/>
        <w:szCs w:val="18"/>
      </w:rPr>
      <w:t xml:space="preserve">| </w:t>
    </w:r>
    <w:sdt>
      <w:sdtPr>
        <w:rPr>
          <w:color w:val="8E908F"/>
          <w:sz w:val="18"/>
          <w:szCs w:val="18"/>
        </w:rPr>
        <w:alias w:val="Publish Date"/>
        <w:tag w:val=""/>
        <w:id w:val="-557474267"/>
        <w:dataBinding w:prefixMappings="xmlns:ns0='http://schemas.microsoft.com/office/2006/coverPageProps' " w:xpath="/ns0:CoverPageProperties[1]/ns0:PublishDate[1]" w:storeItemID="{55AF091B-3C7A-41E3-B477-F2FDAA23CFDA}"/>
        <w:date w:fullDate="2018-10-11T00:00:00Z">
          <w:dateFormat w:val="dd/MM/yyyy"/>
          <w:lid w:val="en-GB"/>
          <w:storeMappedDataAs w:val="dateTime"/>
          <w:calendar w:val="gregorian"/>
        </w:date>
      </w:sdtPr>
      <w:sdtEndPr/>
      <w:sdtContent>
        <w:r w:rsidR="00A26862">
          <w:rPr>
            <w:color w:val="8E908F"/>
            <w:sz w:val="18"/>
            <w:szCs w:val="18"/>
          </w:rPr>
          <w:t>11/10/2018</w:t>
        </w:r>
      </w:sdtContent>
    </w:sdt>
    <w:r>
      <w:tab/>
    </w:r>
    <w:r>
      <w:fldChar w:fldCharType="begin"/>
    </w:r>
    <w:r>
      <w:instrText xml:space="preserve"> PAGE  \* Arabic  \* MERGEFORMAT </w:instrText>
    </w:r>
    <w:r>
      <w:fldChar w:fldCharType="separate"/>
    </w:r>
    <w:r w:rsidR="00AC775B">
      <w:rPr>
        <w:noProof/>
      </w:rPr>
      <w:t>3</w:t>
    </w:r>
    <w:r>
      <w:fldChar w:fldCharType="end"/>
    </w:r>
    <w:r>
      <w:br/>
    </w:r>
  </w:p>
  <w:p w14:paraId="1E9E5FC7" w14:textId="77777777" w:rsidR="00462B63" w:rsidRPr="008E3675" w:rsidRDefault="00462B63" w:rsidP="00067346">
    <w:pPr>
      <w:pStyle w:val="footnote"/>
      <w:rPr>
        <w:color w:val="8E908F"/>
      </w:rPr>
    </w:pPr>
    <w:r w:rsidRPr="008E3675">
      <w:rPr>
        <w:color w:val="8E908F"/>
      </w:rPr>
      <w:t>Node4 Limited | Millennium Way | Pride Park | Derby | DE24 8HZ | 0845 123 2222 | www.node4.co.uk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603B" w14:textId="77777777" w:rsidR="00462B63" w:rsidRDefault="00462B63" w:rsidP="00067346">
    <w:pPr>
      <w:pStyle w:val="footnote"/>
    </w:pPr>
    <w:r>
      <w:rPr>
        <w:noProof/>
        <w:lang w:val="en-US"/>
      </w:rPr>
      <mc:AlternateContent>
        <mc:Choice Requires="wps">
          <w:drawing>
            <wp:anchor distT="4294967295" distB="4294967295" distL="114300" distR="114300" simplePos="0" relativeHeight="251657728" behindDoc="0" locked="0" layoutInCell="1" allowOverlap="1" wp14:anchorId="1D52E6A9" wp14:editId="1067B0E6">
              <wp:simplePos x="0" y="0"/>
              <wp:positionH relativeFrom="column">
                <wp:posOffset>-1023620</wp:posOffset>
              </wp:positionH>
              <wp:positionV relativeFrom="paragraph">
                <wp:posOffset>-154941</wp:posOffset>
              </wp:positionV>
              <wp:extent cx="83947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rgbClr val="F45206"/>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B67B480" id="Straight Connector 1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pt,-12.2pt" to="580.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" strokecolor="#f45206" strokeweight="2pt">
              <o:lock v:ext="edit" shapetype="f"/>
            </v:line>
          </w:pict>
        </mc:Fallback>
      </mc:AlternateContent>
    </w:r>
  </w:p>
  <w:p w14:paraId="7D579743" w14:textId="77777777" w:rsidR="00462B63" w:rsidRPr="008E3675" w:rsidRDefault="00462B63" w:rsidP="00067346">
    <w:pPr>
      <w:pStyle w:val="footnote"/>
      <w:rPr>
        <w:rFonts w:cs="Arial"/>
        <w:color w:val="8E908F"/>
      </w:rPr>
    </w:pPr>
    <w:r w:rsidRPr="008E3675">
      <w:rPr>
        <w:rFonts w:cs="Arial"/>
        <w:color w:val="8E908F"/>
      </w:rPr>
      <w:t xml:space="preserve">Node4 Limited | Millennium Way | Pride Park | Derby | DE24 8HZ | </w:t>
    </w:r>
    <w:r>
      <w:rPr>
        <w:rFonts w:cs="Arial"/>
        <w:color w:val="8E908F"/>
      </w:rPr>
      <w:t>0845 123 2222</w:t>
    </w:r>
    <w:r w:rsidRPr="008E3675">
      <w:rPr>
        <w:rFonts w:cs="Arial"/>
        <w:color w:val="8E908F"/>
      </w:rPr>
      <w:t xml:space="preserve"> | www.node4.co.uk</w:t>
    </w:r>
  </w:p>
  <w:p w14:paraId="2452F1C2" w14:textId="77777777" w:rsidR="00462B63" w:rsidRPr="00067346" w:rsidRDefault="00462B63" w:rsidP="00AF7F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E91E2" w14:textId="77777777" w:rsidR="00775F65" w:rsidRDefault="00775F65" w:rsidP="00763FA4">
      <w:pPr>
        <w:spacing w:after="0" w:line="240" w:lineRule="auto"/>
      </w:pPr>
      <w:r>
        <w:separator/>
      </w:r>
    </w:p>
  </w:footnote>
  <w:footnote w:type="continuationSeparator" w:id="0">
    <w:p w14:paraId="71CE6869" w14:textId="77777777" w:rsidR="00775F65" w:rsidRDefault="00775F65" w:rsidP="0076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8FCA" w14:textId="29E952AC" w:rsidR="00462B63" w:rsidRPr="00763FA4" w:rsidRDefault="00462B63" w:rsidP="00BC665D">
    <w:pPr>
      <w:pStyle w:val="MainTitle"/>
      <w:tabs>
        <w:tab w:val="left" w:pos="720"/>
        <w:tab w:val="right" w:pos="9917"/>
      </w:tabs>
      <w:ind w:right="-1"/>
      <w:rPr>
        <w:rFonts w:ascii="Trebuchet MS" w:hAnsi="Trebuchet MS"/>
        <w:sz w:val="32"/>
        <w:szCs w:val="32"/>
      </w:rPr>
    </w:pPr>
    <w:r>
      <w:tab/>
    </w:r>
    <w:r>
      <w:rPr>
        <w:noProof/>
        <w:lang w:eastAsia="en-GB"/>
      </w:rPr>
      <w:t xml:space="preserve"> </w:t>
    </w:r>
    <w:r w:rsidR="00BC665D">
      <w:rPr>
        <w:noProof/>
        <w:lang w:eastAsia="en-GB"/>
      </w:rPr>
      <w:tab/>
    </w:r>
    <w:r w:rsidR="00BC665D" w:rsidRPr="00BC665D">
      <w:rPr>
        <w:noProof/>
        <w:lang w:val="en-US"/>
      </w:rPr>
      <w:drawing>
        <wp:inline distT="0" distB="0" distL="0" distR="0" wp14:anchorId="08E68AF5" wp14:editId="54B374B7">
          <wp:extent cx="2134400" cy="558799"/>
          <wp:effectExtent l="0" t="0" r="0" b="0"/>
          <wp:docPr id="3" name="Picture 3"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nas\Work\Clients\N\NODE4\2222 - Rebranding - Nov 2017\Design\Artwork\FINAL BRAND ASSETS\Logos\RGB\Logo_gradient-strap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322" cy="567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1816" w14:textId="7051F5AA" w:rsidR="00462B63" w:rsidRDefault="00462B63">
    <w:pPr>
      <w:pStyle w:val="Header"/>
    </w:pPr>
    <w:r>
      <w:rPr>
        <w:noProof/>
        <w:lang w:val="en-US"/>
      </w:rPr>
      <w:drawing>
        <wp:anchor distT="0" distB="0" distL="114300" distR="114300" simplePos="0" relativeHeight="251671552" behindDoc="1" locked="0" layoutInCell="1" allowOverlap="1" wp14:anchorId="2449BA0A" wp14:editId="51E83E0D">
          <wp:simplePos x="0" y="0"/>
          <wp:positionH relativeFrom="column">
            <wp:posOffset>-859155</wp:posOffset>
          </wp:positionH>
          <wp:positionV relativeFrom="paragraph">
            <wp:posOffset>-525780</wp:posOffset>
          </wp:positionV>
          <wp:extent cx="7912100" cy="1003300"/>
          <wp:effectExtent l="0" t="0" r="0" b="6350"/>
          <wp:wrapNone/>
          <wp:docPr id="37" name="Picture 37" descr="Macintosh HD:Users:DomKD:Desktop:Word-Cover-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omKD:Desktop:Word-Cover-Header-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0" cy="1003300"/>
                  </a:xfrm>
                  <a:prstGeom prst="rect">
                    <a:avLst/>
                  </a:prstGeom>
                  <a:solidFill>
                    <a:schemeClr val="tx2"/>
                  </a:solid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463BF">
      <w:rPr>
        <w:noProof/>
        <w:lang w:val="en-US"/>
      </w:rPr>
      <w:drawing>
        <wp:anchor distT="0" distB="0" distL="114300" distR="114300" simplePos="0" relativeHeight="251669504" behindDoc="1" locked="0" layoutInCell="1" allowOverlap="1" wp14:anchorId="418420DB" wp14:editId="001B5BF1">
          <wp:simplePos x="0" y="0"/>
          <wp:positionH relativeFrom="column">
            <wp:posOffset>7065645</wp:posOffset>
          </wp:positionH>
          <wp:positionV relativeFrom="paragraph">
            <wp:posOffset>-551815</wp:posOffset>
          </wp:positionV>
          <wp:extent cx="7556500" cy="950595"/>
          <wp:effectExtent l="0" t="0" r="12700" b="0"/>
          <wp:wrapNone/>
          <wp:docPr id="38" name="Picture 38" descr="Macintosh HD:Users:DomKD:Desktop:Word-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mKD:Desktop:Word-Header-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95059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34BB"/>
    <w:multiLevelType w:val="hybridMultilevel"/>
    <w:tmpl w:val="5C82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71DDE"/>
    <w:multiLevelType w:val="hybridMultilevel"/>
    <w:tmpl w:val="EB0014AE"/>
    <w:lvl w:ilvl="0" w:tplc="D2D4B216">
      <w:start w:val="1"/>
      <w:numFmt w:val="bullet"/>
      <w:lvlText w:val=""/>
      <w:lvlJc w:val="left"/>
      <w:pPr>
        <w:ind w:left="720" w:hanging="360"/>
      </w:pPr>
      <w:rPr>
        <w:rFonts w:ascii="Symbol" w:hAnsi="Symbol" w:hint="default"/>
      </w:rPr>
    </w:lvl>
    <w:lvl w:ilvl="1" w:tplc="8C6205E8">
      <w:start w:val="1"/>
      <w:numFmt w:val="bullet"/>
      <w:lvlText w:val="o"/>
      <w:lvlJc w:val="left"/>
      <w:pPr>
        <w:ind w:left="1440" w:hanging="360"/>
      </w:pPr>
      <w:rPr>
        <w:rFonts w:ascii="Courier New" w:hAnsi="Courier New" w:hint="default"/>
      </w:rPr>
    </w:lvl>
    <w:lvl w:ilvl="2" w:tplc="133655EE">
      <w:start w:val="1"/>
      <w:numFmt w:val="bullet"/>
      <w:lvlText w:val=""/>
      <w:lvlJc w:val="left"/>
      <w:pPr>
        <w:ind w:left="2160" w:hanging="360"/>
      </w:pPr>
      <w:rPr>
        <w:rFonts w:ascii="Wingdings" w:hAnsi="Wingdings" w:hint="default"/>
      </w:rPr>
    </w:lvl>
    <w:lvl w:ilvl="3" w:tplc="ECE24E8E">
      <w:start w:val="1"/>
      <w:numFmt w:val="bullet"/>
      <w:lvlText w:val=""/>
      <w:lvlJc w:val="left"/>
      <w:pPr>
        <w:ind w:left="2880" w:hanging="360"/>
      </w:pPr>
      <w:rPr>
        <w:rFonts w:ascii="Symbol" w:hAnsi="Symbol" w:hint="default"/>
      </w:rPr>
    </w:lvl>
    <w:lvl w:ilvl="4" w:tplc="04F2349A">
      <w:start w:val="1"/>
      <w:numFmt w:val="bullet"/>
      <w:lvlText w:val="o"/>
      <w:lvlJc w:val="left"/>
      <w:pPr>
        <w:ind w:left="3600" w:hanging="360"/>
      </w:pPr>
      <w:rPr>
        <w:rFonts w:ascii="Courier New" w:hAnsi="Courier New" w:hint="default"/>
      </w:rPr>
    </w:lvl>
    <w:lvl w:ilvl="5" w:tplc="71228A52">
      <w:start w:val="1"/>
      <w:numFmt w:val="bullet"/>
      <w:lvlText w:val=""/>
      <w:lvlJc w:val="left"/>
      <w:pPr>
        <w:ind w:left="4320" w:hanging="360"/>
      </w:pPr>
      <w:rPr>
        <w:rFonts w:ascii="Wingdings" w:hAnsi="Wingdings" w:hint="default"/>
      </w:rPr>
    </w:lvl>
    <w:lvl w:ilvl="6" w:tplc="1700DC78">
      <w:start w:val="1"/>
      <w:numFmt w:val="bullet"/>
      <w:lvlText w:val=""/>
      <w:lvlJc w:val="left"/>
      <w:pPr>
        <w:ind w:left="5040" w:hanging="360"/>
      </w:pPr>
      <w:rPr>
        <w:rFonts w:ascii="Symbol" w:hAnsi="Symbol" w:hint="default"/>
      </w:rPr>
    </w:lvl>
    <w:lvl w:ilvl="7" w:tplc="73D07548">
      <w:start w:val="1"/>
      <w:numFmt w:val="bullet"/>
      <w:lvlText w:val="o"/>
      <w:lvlJc w:val="left"/>
      <w:pPr>
        <w:ind w:left="5760" w:hanging="360"/>
      </w:pPr>
      <w:rPr>
        <w:rFonts w:ascii="Courier New" w:hAnsi="Courier New" w:hint="default"/>
      </w:rPr>
    </w:lvl>
    <w:lvl w:ilvl="8" w:tplc="C3E226E2">
      <w:start w:val="1"/>
      <w:numFmt w:val="bullet"/>
      <w:lvlText w:val=""/>
      <w:lvlJc w:val="left"/>
      <w:pPr>
        <w:ind w:left="6480" w:hanging="360"/>
      </w:pPr>
      <w:rPr>
        <w:rFonts w:ascii="Wingdings" w:hAnsi="Wingdings" w:hint="default"/>
      </w:rPr>
    </w:lvl>
  </w:abstractNum>
  <w:abstractNum w:abstractNumId="2" w15:restartNumberingAfterBreak="0">
    <w:nsid w:val="0E4065B9"/>
    <w:multiLevelType w:val="multilevel"/>
    <w:tmpl w:val="9398BE42"/>
    <w:lvl w:ilvl="0">
      <w:start w:val="1"/>
      <w:numFmt w:val="decimal"/>
      <w:pStyle w:val="Heading2"/>
      <w:lvlText w:val="%1."/>
      <w:lvlJc w:val="left"/>
      <w:pPr>
        <w:ind w:left="720" w:hanging="360"/>
      </w:pPr>
    </w:lvl>
    <w:lvl w:ilvl="1">
      <w:start w:val="1"/>
      <w:numFmt w:val="decimal"/>
      <w:pStyle w:val="Heading3"/>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137564"/>
    <w:multiLevelType w:val="hybridMultilevel"/>
    <w:tmpl w:val="8174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31848"/>
    <w:multiLevelType w:val="hybridMultilevel"/>
    <w:tmpl w:val="82B8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B1758"/>
    <w:multiLevelType w:val="hybridMultilevel"/>
    <w:tmpl w:val="C2C801BA"/>
    <w:lvl w:ilvl="0" w:tplc="79227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6505F"/>
    <w:multiLevelType w:val="hybridMultilevel"/>
    <w:tmpl w:val="464E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F01AB"/>
    <w:multiLevelType w:val="hybridMultilevel"/>
    <w:tmpl w:val="54A6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A2551"/>
    <w:multiLevelType w:val="hybridMultilevel"/>
    <w:tmpl w:val="AB16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D1EA5"/>
    <w:multiLevelType w:val="hybridMultilevel"/>
    <w:tmpl w:val="C574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A7D3A"/>
    <w:multiLevelType w:val="hybridMultilevel"/>
    <w:tmpl w:val="F6444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2B219F"/>
    <w:multiLevelType w:val="hybridMultilevel"/>
    <w:tmpl w:val="FF701E6E"/>
    <w:lvl w:ilvl="0" w:tplc="491E7056">
      <w:start w:val="1"/>
      <w:numFmt w:val="bullet"/>
      <w:lvlText w:val=""/>
      <w:lvlJc w:val="left"/>
      <w:pPr>
        <w:ind w:left="720" w:hanging="360"/>
      </w:pPr>
      <w:rPr>
        <w:rFonts w:ascii="Symbol" w:hAnsi="Symbol" w:hint="default"/>
        <w:color w:val="C96E07"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21F35"/>
    <w:multiLevelType w:val="hybridMultilevel"/>
    <w:tmpl w:val="D236D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13935"/>
    <w:multiLevelType w:val="hybridMultilevel"/>
    <w:tmpl w:val="E98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529AD"/>
    <w:multiLevelType w:val="hybridMultilevel"/>
    <w:tmpl w:val="FD08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43FA5"/>
    <w:multiLevelType w:val="hybridMultilevel"/>
    <w:tmpl w:val="9714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52CDE"/>
    <w:multiLevelType w:val="hybridMultilevel"/>
    <w:tmpl w:val="F7EA7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8EE43AB"/>
    <w:multiLevelType w:val="hybridMultilevel"/>
    <w:tmpl w:val="5B1A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645DC9"/>
    <w:multiLevelType w:val="hybridMultilevel"/>
    <w:tmpl w:val="A9603276"/>
    <w:lvl w:ilvl="0" w:tplc="C1AA4CB8">
      <w:start w:val="1"/>
      <w:numFmt w:val="bullet"/>
      <w:pStyle w:val="ListParagraph"/>
      <w:lvlText w:val=""/>
      <w:lvlJc w:val="left"/>
      <w:pPr>
        <w:ind w:left="530" w:hanging="53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0F048C"/>
    <w:multiLevelType w:val="hybridMultilevel"/>
    <w:tmpl w:val="4B68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274E7"/>
    <w:multiLevelType w:val="hybridMultilevel"/>
    <w:tmpl w:val="1C320F56"/>
    <w:lvl w:ilvl="0" w:tplc="EAB6D03E">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742CFB"/>
    <w:multiLevelType w:val="hybridMultilevel"/>
    <w:tmpl w:val="2B8C1918"/>
    <w:lvl w:ilvl="0" w:tplc="EF4E14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90374F"/>
    <w:multiLevelType w:val="hybridMultilevel"/>
    <w:tmpl w:val="44E6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755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2B3FEF"/>
    <w:multiLevelType w:val="hybridMultilevel"/>
    <w:tmpl w:val="D2D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A3298A"/>
    <w:multiLevelType w:val="hybridMultilevel"/>
    <w:tmpl w:val="848A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187991"/>
    <w:multiLevelType w:val="hybridMultilevel"/>
    <w:tmpl w:val="E48EB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FB5E3C"/>
    <w:multiLevelType w:val="hybridMultilevel"/>
    <w:tmpl w:val="CF7AFB6E"/>
    <w:lvl w:ilvl="0" w:tplc="EF007BC6">
      <w:start w:val="1"/>
      <w:numFmt w:val="bullet"/>
      <w:lvlText w:val=""/>
      <w:lvlJc w:val="left"/>
      <w:pPr>
        <w:ind w:left="1440" w:hanging="360"/>
      </w:pPr>
      <w:rPr>
        <w:rFonts w:ascii="Symbol" w:hAnsi="Symbol" w:hint="default"/>
        <w:color w:val="F3732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0E5551B"/>
    <w:multiLevelType w:val="hybridMultilevel"/>
    <w:tmpl w:val="506CA2E2"/>
    <w:lvl w:ilvl="0" w:tplc="38B2915C">
      <w:start w:val="1"/>
      <w:numFmt w:val="bullet"/>
      <w:lvlText w:val=""/>
      <w:lvlJc w:val="left"/>
      <w:pPr>
        <w:ind w:left="1004" w:hanging="360"/>
      </w:pPr>
      <w:rPr>
        <w:rFonts w:ascii="Symbol" w:hAnsi="Symbol" w:hint="default"/>
        <w:color w:val="F3732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73C64926"/>
    <w:multiLevelType w:val="hybridMultilevel"/>
    <w:tmpl w:val="F5F6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722C9"/>
    <w:multiLevelType w:val="multilevel"/>
    <w:tmpl w:val="102CA77E"/>
    <w:lvl w:ilvl="0">
      <w:start w:val="1"/>
      <w:numFmt w:val="decimal"/>
      <w:lvlText w:val="%1."/>
      <w:lvlJc w:val="left"/>
      <w:pPr>
        <w:ind w:left="720" w:hanging="360"/>
      </w:pPr>
    </w:lvl>
    <w:lvl w:ilvl="1">
      <w:start w:val="1"/>
      <w:numFmt w:val="decimal"/>
      <w:isLgl/>
      <w:lvlText w:val="%1.%2"/>
      <w:lvlJc w:val="left"/>
      <w:pPr>
        <w:ind w:left="78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bodytext"/>
      <w:isLgl/>
      <w:lvlText w:val="%1.%2.%3"/>
      <w:lvlJc w:val="left"/>
      <w:pPr>
        <w:ind w:left="180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498"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5A3319F"/>
    <w:multiLevelType w:val="hybridMultilevel"/>
    <w:tmpl w:val="BE8C8472"/>
    <w:lvl w:ilvl="0" w:tplc="491E7056">
      <w:start w:val="1"/>
      <w:numFmt w:val="bullet"/>
      <w:lvlText w:val=""/>
      <w:lvlJc w:val="left"/>
      <w:pPr>
        <w:ind w:left="1440" w:hanging="360"/>
      </w:pPr>
      <w:rPr>
        <w:rFonts w:ascii="Symbol" w:hAnsi="Symbol" w:hint="default"/>
        <w:color w:val="C96E07" w:themeColor="accent6"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75B32AE"/>
    <w:multiLevelType w:val="hybridMultilevel"/>
    <w:tmpl w:val="2F9A93B2"/>
    <w:lvl w:ilvl="0" w:tplc="C2B29A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8A2942"/>
    <w:multiLevelType w:val="hybridMultilevel"/>
    <w:tmpl w:val="005E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825A42"/>
    <w:multiLevelType w:val="hybridMultilevel"/>
    <w:tmpl w:val="BE0A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310B4"/>
    <w:multiLevelType w:val="hybridMultilevel"/>
    <w:tmpl w:val="0C76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8"/>
  </w:num>
  <w:num w:numId="4">
    <w:abstractNumId w:val="18"/>
  </w:num>
  <w:num w:numId="5">
    <w:abstractNumId w:val="31"/>
  </w:num>
  <w:num w:numId="6">
    <w:abstractNumId w:val="13"/>
  </w:num>
  <w:num w:numId="7">
    <w:abstractNumId w:val="25"/>
  </w:num>
  <w:num w:numId="8">
    <w:abstractNumId w:val="3"/>
  </w:num>
  <w:num w:numId="9">
    <w:abstractNumId w:val="35"/>
  </w:num>
  <w:num w:numId="10">
    <w:abstractNumId w:val="23"/>
  </w:num>
  <w:num w:numId="11">
    <w:abstractNumId w:val="10"/>
  </w:num>
  <w:num w:numId="12">
    <w:abstractNumId w:val="16"/>
  </w:num>
  <w:num w:numId="13">
    <w:abstractNumId w:val="26"/>
  </w:num>
  <w:num w:numId="14">
    <w:abstractNumId w:val="9"/>
  </w:num>
  <w:num w:numId="15">
    <w:abstractNumId w:val="11"/>
  </w:num>
  <w:num w:numId="16">
    <w:abstractNumId w:val="4"/>
  </w:num>
  <w:num w:numId="17">
    <w:abstractNumId w:val="6"/>
  </w:num>
  <w:num w:numId="18">
    <w:abstractNumId w:val="34"/>
  </w:num>
  <w:num w:numId="19">
    <w:abstractNumId w:val="5"/>
  </w:num>
  <w:num w:numId="20">
    <w:abstractNumId w:val="12"/>
  </w:num>
  <w:num w:numId="21">
    <w:abstractNumId w:val="7"/>
  </w:num>
  <w:num w:numId="22">
    <w:abstractNumId w:val="17"/>
  </w:num>
  <w:num w:numId="23">
    <w:abstractNumId w:val="15"/>
  </w:num>
  <w:num w:numId="24">
    <w:abstractNumId w:val="33"/>
  </w:num>
  <w:num w:numId="25">
    <w:abstractNumId w:val="29"/>
  </w:num>
  <w:num w:numId="26">
    <w:abstractNumId w:val="8"/>
  </w:num>
  <w:num w:numId="27">
    <w:abstractNumId w:val="1"/>
  </w:num>
  <w:num w:numId="28">
    <w:abstractNumId w:val="24"/>
  </w:num>
  <w:num w:numId="29">
    <w:abstractNumId w:val="2"/>
  </w:num>
  <w:num w:numId="30">
    <w:abstractNumId w:val="20"/>
  </w:num>
  <w:num w:numId="31">
    <w:abstractNumId w:val="14"/>
  </w:num>
  <w:num w:numId="32">
    <w:abstractNumId w:val="32"/>
  </w:num>
  <w:num w:numId="33">
    <w:abstractNumId w:val="22"/>
  </w:num>
  <w:num w:numId="34">
    <w:abstractNumId w:val="19"/>
  </w:num>
  <w:num w:numId="35">
    <w:abstractNumId w:val="0"/>
  </w:num>
  <w:num w:numId="36">
    <w:abstractNumId w:val="21"/>
  </w:num>
  <w:num w:numId="37">
    <w:abstractNumId w:val="30"/>
  </w:num>
  <w:num w:numId="38">
    <w:abstractNumId w:val="2"/>
  </w:num>
  <w:num w:numId="39">
    <w:abstractNumId w:val="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0A"/>
    <w:rsid w:val="00007683"/>
    <w:rsid w:val="000256ED"/>
    <w:rsid w:val="0003419A"/>
    <w:rsid w:val="00067346"/>
    <w:rsid w:val="00077330"/>
    <w:rsid w:val="0008650A"/>
    <w:rsid w:val="00093621"/>
    <w:rsid w:val="000A55BE"/>
    <w:rsid w:val="000D7DBE"/>
    <w:rsid w:val="000E35B3"/>
    <w:rsid w:val="000E69BA"/>
    <w:rsid w:val="00100C19"/>
    <w:rsid w:val="0010129F"/>
    <w:rsid w:val="00101615"/>
    <w:rsid w:val="00111FF3"/>
    <w:rsid w:val="00113F12"/>
    <w:rsid w:val="00132E60"/>
    <w:rsid w:val="001409FA"/>
    <w:rsid w:val="00143442"/>
    <w:rsid w:val="0016150F"/>
    <w:rsid w:val="0017619C"/>
    <w:rsid w:val="001A1BCF"/>
    <w:rsid w:val="001B12F2"/>
    <w:rsid w:val="001B5930"/>
    <w:rsid w:val="001B70C6"/>
    <w:rsid w:val="001C66EC"/>
    <w:rsid w:val="001E1CB2"/>
    <w:rsid w:val="001E6E78"/>
    <w:rsid w:val="00207133"/>
    <w:rsid w:val="00214D4F"/>
    <w:rsid w:val="002239E7"/>
    <w:rsid w:val="00240B63"/>
    <w:rsid w:val="00240D1F"/>
    <w:rsid w:val="00245ED4"/>
    <w:rsid w:val="002463BF"/>
    <w:rsid w:val="00263CF5"/>
    <w:rsid w:val="00272227"/>
    <w:rsid w:val="0027312C"/>
    <w:rsid w:val="002769BC"/>
    <w:rsid w:val="00287729"/>
    <w:rsid w:val="002A2301"/>
    <w:rsid w:val="002B1EE2"/>
    <w:rsid w:val="002B28D7"/>
    <w:rsid w:val="002D1893"/>
    <w:rsid w:val="002D35C9"/>
    <w:rsid w:val="002D5240"/>
    <w:rsid w:val="002D6205"/>
    <w:rsid w:val="002E3061"/>
    <w:rsid w:val="002E5F5E"/>
    <w:rsid w:val="002E71FD"/>
    <w:rsid w:val="002F0B7B"/>
    <w:rsid w:val="00301C5E"/>
    <w:rsid w:val="003164B8"/>
    <w:rsid w:val="00325DE8"/>
    <w:rsid w:val="0032708E"/>
    <w:rsid w:val="00341339"/>
    <w:rsid w:val="003424E0"/>
    <w:rsid w:val="0035483D"/>
    <w:rsid w:val="00366030"/>
    <w:rsid w:val="00381C86"/>
    <w:rsid w:val="003976A9"/>
    <w:rsid w:val="003A648E"/>
    <w:rsid w:val="003B21D5"/>
    <w:rsid w:val="003B3E43"/>
    <w:rsid w:val="003B77B0"/>
    <w:rsid w:val="003C6392"/>
    <w:rsid w:val="003D0307"/>
    <w:rsid w:val="003D47D2"/>
    <w:rsid w:val="003E5E71"/>
    <w:rsid w:val="00403516"/>
    <w:rsid w:val="00422732"/>
    <w:rsid w:val="00425C9B"/>
    <w:rsid w:val="0045292A"/>
    <w:rsid w:val="0046043E"/>
    <w:rsid w:val="00462B63"/>
    <w:rsid w:val="004705EF"/>
    <w:rsid w:val="00480B5B"/>
    <w:rsid w:val="0048299E"/>
    <w:rsid w:val="004839D0"/>
    <w:rsid w:val="00485800"/>
    <w:rsid w:val="004918E2"/>
    <w:rsid w:val="004922BD"/>
    <w:rsid w:val="0049469E"/>
    <w:rsid w:val="004A44E9"/>
    <w:rsid w:val="004A70DC"/>
    <w:rsid w:val="004B0358"/>
    <w:rsid w:val="004B17DE"/>
    <w:rsid w:val="004E06FA"/>
    <w:rsid w:val="004F0CB2"/>
    <w:rsid w:val="004F5462"/>
    <w:rsid w:val="004F6F21"/>
    <w:rsid w:val="0050180A"/>
    <w:rsid w:val="00522760"/>
    <w:rsid w:val="00525B78"/>
    <w:rsid w:val="0053127D"/>
    <w:rsid w:val="0053413D"/>
    <w:rsid w:val="00534CC3"/>
    <w:rsid w:val="0054015F"/>
    <w:rsid w:val="00541405"/>
    <w:rsid w:val="0054255B"/>
    <w:rsid w:val="0056188E"/>
    <w:rsid w:val="00566132"/>
    <w:rsid w:val="0059650F"/>
    <w:rsid w:val="005C186A"/>
    <w:rsid w:val="005C6767"/>
    <w:rsid w:val="005E194C"/>
    <w:rsid w:val="005E4B0D"/>
    <w:rsid w:val="005F2C2E"/>
    <w:rsid w:val="005F5647"/>
    <w:rsid w:val="00600920"/>
    <w:rsid w:val="006134F6"/>
    <w:rsid w:val="00643F14"/>
    <w:rsid w:val="00644C4C"/>
    <w:rsid w:val="00652EE3"/>
    <w:rsid w:val="00660D7D"/>
    <w:rsid w:val="00662A4E"/>
    <w:rsid w:val="00676B31"/>
    <w:rsid w:val="00687C8B"/>
    <w:rsid w:val="00697287"/>
    <w:rsid w:val="006A1750"/>
    <w:rsid w:val="006A18F8"/>
    <w:rsid w:val="006A4655"/>
    <w:rsid w:val="006B0EEC"/>
    <w:rsid w:val="006C2FB9"/>
    <w:rsid w:val="006D088E"/>
    <w:rsid w:val="006D601C"/>
    <w:rsid w:val="006F63EE"/>
    <w:rsid w:val="006F66BB"/>
    <w:rsid w:val="007106CD"/>
    <w:rsid w:val="00742A78"/>
    <w:rsid w:val="007475F9"/>
    <w:rsid w:val="00747761"/>
    <w:rsid w:val="00747BE2"/>
    <w:rsid w:val="00756285"/>
    <w:rsid w:val="00756A2E"/>
    <w:rsid w:val="00763FA4"/>
    <w:rsid w:val="007672D0"/>
    <w:rsid w:val="00773A92"/>
    <w:rsid w:val="00775F65"/>
    <w:rsid w:val="00793E95"/>
    <w:rsid w:val="00794A9C"/>
    <w:rsid w:val="007A5901"/>
    <w:rsid w:val="007A6293"/>
    <w:rsid w:val="007B7467"/>
    <w:rsid w:val="007C7A85"/>
    <w:rsid w:val="007D5A22"/>
    <w:rsid w:val="007D7C28"/>
    <w:rsid w:val="007E4014"/>
    <w:rsid w:val="007F4166"/>
    <w:rsid w:val="007F494D"/>
    <w:rsid w:val="008119B0"/>
    <w:rsid w:val="008363C3"/>
    <w:rsid w:val="008364C6"/>
    <w:rsid w:val="00836FAB"/>
    <w:rsid w:val="00840537"/>
    <w:rsid w:val="00845F55"/>
    <w:rsid w:val="0085185B"/>
    <w:rsid w:val="0085701A"/>
    <w:rsid w:val="00896AEC"/>
    <w:rsid w:val="008A359A"/>
    <w:rsid w:val="008A7CB3"/>
    <w:rsid w:val="008B1FDF"/>
    <w:rsid w:val="008C162F"/>
    <w:rsid w:val="008D0D48"/>
    <w:rsid w:val="008D4DDA"/>
    <w:rsid w:val="008E3675"/>
    <w:rsid w:val="008F080E"/>
    <w:rsid w:val="008F2C66"/>
    <w:rsid w:val="009034D6"/>
    <w:rsid w:val="00903C3A"/>
    <w:rsid w:val="00913FA7"/>
    <w:rsid w:val="0092735B"/>
    <w:rsid w:val="009311A4"/>
    <w:rsid w:val="009376E4"/>
    <w:rsid w:val="00941506"/>
    <w:rsid w:val="00951C5F"/>
    <w:rsid w:val="0096519F"/>
    <w:rsid w:val="009708D0"/>
    <w:rsid w:val="00973173"/>
    <w:rsid w:val="00974F62"/>
    <w:rsid w:val="00975161"/>
    <w:rsid w:val="00982CDC"/>
    <w:rsid w:val="00990562"/>
    <w:rsid w:val="00992697"/>
    <w:rsid w:val="00997D26"/>
    <w:rsid w:val="009A2B6C"/>
    <w:rsid w:val="009B2632"/>
    <w:rsid w:val="009D3803"/>
    <w:rsid w:val="009E0518"/>
    <w:rsid w:val="009F1480"/>
    <w:rsid w:val="009F38D2"/>
    <w:rsid w:val="009F424A"/>
    <w:rsid w:val="009F6B0B"/>
    <w:rsid w:val="00A01207"/>
    <w:rsid w:val="00A04071"/>
    <w:rsid w:val="00A04492"/>
    <w:rsid w:val="00A063C6"/>
    <w:rsid w:val="00A26862"/>
    <w:rsid w:val="00A3376E"/>
    <w:rsid w:val="00A63240"/>
    <w:rsid w:val="00A7112C"/>
    <w:rsid w:val="00A74166"/>
    <w:rsid w:val="00A92937"/>
    <w:rsid w:val="00A97CDC"/>
    <w:rsid w:val="00AB49E0"/>
    <w:rsid w:val="00AC1C7B"/>
    <w:rsid w:val="00AC775B"/>
    <w:rsid w:val="00AD3EAD"/>
    <w:rsid w:val="00AF7FCB"/>
    <w:rsid w:val="00B0371D"/>
    <w:rsid w:val="00B314EF"/>
    <w:rsid w:val="00B36391"/>
    <w:rsid w:val="00B42790"/>
    <w:rsid w:val="00B71EBF"/>
    <w:rsid w:val="00B740D1"/>
    <w:rsid w:val="00B7653F"/>
    <w:rsid w:val="00B81D63"/>
    <w:rsid w:val="00B91F25"/>
    <w:rsid w:val="00BB249A"/>
    <w:rsid w:val="00BB4727"/>
    <w:rsid w:val="00BB5A9C"/>
    <w:rsid w:val="00BC665D"/>
    <w:rsid w:val="00BE3686"/>
    <w:rsid w:val="00BE78C4"/>
    <w:rsid w:val="00BF5640"/>
    <w:rsid w:val="00BF72B0"/>
    <w:rsid w:val="00C0107A"/>
    <w:rsid w:val="00C022C8"/>
    <w:rsid w:val="00C04256"/>
    <w:rsid w:val="00C21646"/>
    <w:rsid w:val="00C2544F"/>
    <w:rsid w:val="00C26C1B"/>
    <w:rsid w:val="00C40D9C"/>
    <w:rsid w:val="00C514BD"/>
    <w:rsid w:val="00C57B83"/>
    <w:rsid w:val="00C97C97"/>
    <w:rsid w:val="00CA644F"/>
    <w:rsid w:val="00CB7C54"/>
    <w:rsid w:val="00CC645D"/>
    <w:rsid w:val="00CD0668"/>
    <w:rsid w:val="00CD3CAB"/>
    <w:rsid w:val="00CF4390"/>
    <w:rsid w:val="00D03054"/>
    <w:rsid w:val="00D15A65"/>
    <w:rsid w:val="00D25D04"/>
    <w:rsid w:val="00D30F7E"/>
    <w:rsid w:val="00D31E6E"/>
    <w:rsid w:val="00D31FEE"/>
    <w:rsid w:val="00D342B8"/>
    <w:rsid w:val="00D35A92"/>
    <w:rsid w:val="00D439D0"/>
    <w:rsid w:val="00D44323"/>
    <w:rsid w:val="00D81270"/>
    <w:rsid w:val="00D9612B"/>
    <w:rsid w:val="00DA7011"/>
    <w:rsid w:val="00DA7250"/>
    <w:rsid w:val="00DA76FC"/>
    <w:rsid w:val="00DB253A"/>
    <w:rsid w:val="00DB2C59"/>
    <w:rsid w:val="00DD320F"/>
    <w:rsid w:val="00DD4B53"/>
    <w:rsid w:val="00DD4DB7"/>
    <w:rsid w:val="00E26340"/>
    <w:rsid w:val="00E62938"/>
    <w:rsid w:val="00E62BEA"/>
    <w:rsid w:val="00E7069F"/>
    <w:rsid w:val="00EA194C"/>
    <w:rsid w:val="00EA2115"/>
    <w:rsid w:val="00EC6445"/>
    <w:rsid w:val="00EC7CD6"/>
    <w:rsid w:val="00ED59A4"/>
    <w:rsid w:val="00EE769D"/>
    <w:rsid w:val="00F00C3F"/>
    <w:rsid w:val="00F10EC0"/>
    <w:rsid w:val="00F11A6A"/>
    <w:rsid w:val="00F25CF7"/>
    <w:rsid w:val="00F357C5"/>
    <w:rsid w:val="00F4051C"/>
    <w:rsid w:val="00F42B38"/>
    <w:rsid w:val="00F506EC"/>
    <w:rsid w:val="00F55939"/>
    <w:rsid w:val="00F74E79"/>
    <w:rsid w:val="00F8436C"/>
    <w:rsid w:val="00F847D4"/>
    <w:rsid w:val="00F9302D"/>
    <w:rsid w:val="00FB7D59"/>
    <w:rsid w:val="00FC3491"/>
    <w:rsid w:val="00FC495A"/>
    <w:rsid w:val="00FD01F1"/>
    <w:rsid w:val="00FD5F6E"/>
    <w:rsid w:val="00FD7E76"/>
    <w:rsid w:val="00FF5E5E"/>
    <w:rsid w:val="70CA1B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50C613"/>
  <w15:docId w15:val="{34423EEB-B4E5-4D97-9B22-8C53E72E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A01207"/>
    <w:pPr>
      <w:spacing w:after="200" w:line="276" w:lineRule="auto"/>
      <w:jc w:val="both"/>
    </w:pPr>
    <w:rPr>
      <w:rFonts w:ascii="Arial" w:hAnsi="Arial"/>
      <w:color w:val="1E1E1E"/>
    </w:rPr>
  </w:style>
  <w:style w:type="paragraph" w:styleId="Heading1">
    <w:name w:val="heading 1"/>
    <w:aliases w:val="Heading"/>
    <w:basedOn w:val="Normal"/>
    <w:next w:val="Normal"/>
    <w:link w:val="Heading1Char"/>
    <w:autoRedefine/>
    <w:uiPriority w:val="9"/>
    <w:qFormat/>
    <w:rsid w:val="00422732"/>
    <w:pPr>
      <w:keepNext/>
      <w:keepLines/>
      <w:spacing w:after="0"/>
      <w:outlineLvl w:val="0"/>
    </w:pPr>
    <w:rPr>
      <w:rFonts w:eastAsia="MS Mincho"/>
      <w:caps/>
      <w:sz w:val="36"/>
      <w:szCs w:val="36"/>
    </w:rPr>
  </w:style>
  <w:style w:type="paragraph" w:styleId="Heading2">
    <w:name w:val="heading 2"/>
    <w:aliases w:val="Sub Heading"/>
    <w:basedOn w:val="Normal"/>
    <w:next w:val="Normal"/>
    <w:link w:val="Heading2Char"/>
    <w:uiPriority w:val="9"/>
    <w:unhideWhenUsed/>
    <w:qFormat/>
    <w:rsid w:val="003A648E"/>
    <w:pPr>
      <w:keepNext/>
      <w:keepLines/>
      <w:numPr>
        <w:numId w:val="29"/>
      </w:numPr>
      <w:ind w:left="357" w:hanging="357"/>
      <w:outlineLvl w:val="1"/>
    </w:pPr>
    <w:rPr>
      <w:rFonts w:eastAsia="MS Mincho"/>
      <w:b/>
      <w:color w:val="F79220"/>
      <w:sz w:val="28"/>
      <w:szCs w:val="32"/>
    </w:rPr>
  </w:style>
  <w:style w:type="paragraph" w:styleId="Heading3">
    <w:name w:val="heading 3"/>
    <w:basedOn w:val="Normal"/>
    <w:next w:val="Normal"/>
    <w:link w:val="Heading3Char"/>
    <w:autoRedefine/>
    <w:uiPriority w:val="9"/>
    <w:unhideWhenUsed/>
    <w:qFormat/>
    <w:rsid w:val="008A7CB3"/>
    <w:pPr>
      <w:keepNext/>
      <w:keepLines/>
      <w:numPr>
        <w:ilvl w:val="1"/>
        <w:numId w:val="29"/>
      </w:numPr>
      <w:spacing w:before="200" w:after="0"/>
      <w:ind w:left="426" w:hanging="426"/>
      <w:jc w:val="left"/>
      <w:outlineLvl w:val="2"/>
    </w:pPr>
    <w:rPr>
      <w:rFonts w:eastAsia="MS Mincho" w:cs="Arial"/>
      <w:b/>
      <w:color w:val="F79220"/>
      <w:szCs w:val="24"/>
    </w:rPr>
  </w:style>
  <w:style w:type="paragraph" w:styleId="Heading4">
    <w:name w:val="heading 4"/>
    <w:basedOn w:val="Normal"/>
    <w:next w:val="Normal"/>
    <w:link w:val="Heading4Char"/>
    <w:uiPriority w:val="9"/>
    <w:unhideWhenUsed/>
    <w:qFormat/>
    <w:rsid w:val="00422732"/>
    <w:pPr>
      <w:keepNext/>
      <w:keepLines/>
      <w:spacing w:before="200" w:after="0"/>
      <w:outlineLvl w:val="3"/>
    </w:pPr>
    <w:rPr>
      <w:rFonts w:eastAsia="MS Mincho"/>
      <w:caps/>
      <w:color w:val="565A5C"/>
      <w:sz w:val="22"/>
      <w:szCs w:val="22"/>
    </w:rPr>
  </w:style>
  <w:style w:type="paragraph" w:styleId="Heading5">
    <w:name w:val="heading 5"/>
    <w:aliases w:val="CTA Heading"/>
    <w:basedOn w:val="Normal"/>
    <w:next w:val="Normal"/>
    <w:link w:val="Heading5Char"/>
    <w:uiPriority w:val="9"/>
    <w:unhideWhenUsed/>
    <w:qFormat/>
    <w:rsid w:val="00422732"/>
    <w:pPr>
      <w:keepNext/>
      <w:keepLines/>
      <w:spacing w:before="200" w:after="0"/>
      <w:outlineLvl w:val="4"/>
    </w:pPr>
    <w:rPr>
      <w:rFonts w:eastAsia="MS Mincho"/>
      <w:caps/>
      <w:color w:val="69BE28"/>
      <w:sz w:val="22"/>
      <w:szCs w:val="22"/>
    </w:rPr>
  </w:style>
  <w:style w:type="paragraph" w:styleId="Heading6">
    <w:name w:val="heading 6"/>
    <w:aliases w:val="INFO Heading"/>
    <w:basedOn w:val="Normal"/>
    <w:next w:val="Normal"/>
    <w:link w:val="Heading6Char"/>
    <w:uiPriority w:val="9"/>
    <w:unhideWhenUsed/>
    <w:qFormat/>
    <w:rsid w:val="002D5240"/>
    <w:pPr>
      <w:keepNext/>
      <w:keepLines/>
      <w:spacing w:before="200" w:after="0"/>
      <w:outlineLvl w:val="5"/>
    </w:pPr>
    <w:rPr>
      <w:rFonts w:eastAsia="MS Mincho"/>
      <w:caps/>
      <w:color w:val="00A9E0"/>
      <w:sz w:val="22"/>
      <w:szCs w:val="22"/>
    </w:rPr>
  </w:style>
  <w:style w:type="paragraph" w:styleId="Heading7">
    <w:name w:val="heading 7"/>
    <w:aliases w:val="Heading Emphasis"/>
    <w:basedOn w:val="Normal"/>
    <w:next w:val="Normal"/>
    <w:link w:val="Heading7Char"/>
    <w:uiPriority w:val="9"/>
    <w:unhideWhenUsed/>
    <w:rsid w:val="00B36391"/>
    <w:pPr>
      <w:keepNext/>
      <w:keepLines/>
      <w:spacing w:before="200" w:after="0"/>
      <w:outlineLvl w:val="6"/>
    </w:pPr>
    <w:rPr>
      <w:rFonts w:eastAsia="MS Mincho"/>
      <w:i/>
      <w:iCs/>
      <w:color w:val="8E90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422732"/>
    <w:rPr>
      <w:rFonts w:ascii="Arial" w:eastAsia="MS Mincho" w:hAnsi="Arial"/>
      <w:caps/>
      <w:color w:val="1E1E1E"/>
      <w:sz w:val="36"/>
      <w:szCs w:val="36"/>
    </w:rPr>
  </w:style>
  <w:style w:type="character" w:customStyle="1" w:styleId="Heading2Char">
    <w:name w:val="Heading 2 Char"/>
    <w:aliases w:val="Sub Heading Char"/>
    <w:link w:val="Heading2"/>
    <w:uiPriority w:val="9"/>
    <w:rsid w:val="003A648E"/>
    <w:rPr>
      <w:rFonts w:ascii="Arial" w:eastAsia="MS Mincho" w:hAnsi="Arial"/>
      <w:b/>
      <w:color w:val="F79220"/>
      <w:sz w:val="28"/>
      <w:szCs w:val="32"/>
    </w:rPr>
  </w:style>
  <w:style w:type="character" w:customStyle="1" w:styleId="Heading3Char">
    <w:name w:val="Heading 3 Char"/>
    <w:link w:val="Heading3"/>
    <w:uiPriority w:val="9"/>
    <w:rsid w:val="008A7CB3"/>
    <w:rPr>
      <w:rFonts w:ascii="Arial" w:eastAsia="MS Mincho" w:hAnsi="Arial" w:cs="Arial"/>
      <w:b/>
      <w:color w:val="F79220"/>
      <w:szCs w:val="24"/>
    </w:rPr>
  </w:style>
  <w:style w:type="character" w:customStyle="1" w:styleId="Heading4Char">
    <w:name w:val="Heading 4 Char"/>
    <w:link w:val="Heading4"/>
    <w:uiPriority w:val="9"/>
    <w:rsid w:val="00422732"/>
    <w:rPr>
      <w:rFonts w:ascii="Arial" w:eastAsia="MS Mincho" w:hAnsi="Arial"/>
      <w:caps/>
      <w:color w:val="565A5C"/>
      <w:sz w:val="22"/>
      <w:szCs w:val="22"/>
    </w:rPr>
  </w:style>
  <w:style w:type="character" w:customStyle="1" w:styleId="Heading5Char">
    <w:name w:val="Heading 5 Char"/>
    <w:aliases w:val="CTA Heading Char"/>
    <w:link w:val="Heading5"/>
    <w:uiPriority w:val="9"/>
    <w:rsid w:val="00422732"/>
    <w:rPr>
      <w:rFonts w:ascii="Arial" w:eastAsia="MS Mincho" w:hAnsi="Arial"/>
      <w:caps/>
      <w:color w:val="69BE28"/>
      <w:sz w:val="22"/>
      <w:szCs w:val="22"/>
    </w:rPr>
  </w:style>
  <w:style w:type="character" w:customStyle="1" w:styleId="Heading6Char">
    <w:name w:val="Heading 6 Char"/>
    <w:aliases w:val="INFO Heading Char"/>
    <w:link w:val="Heading6"/>
    <w:uiPriority w:val="9"/>
    <w:rsid w:val="002D5240"/>
    <w:rPr>
      <w:rFonts w:ascii="Arial" w:eastAsia="MS Mincho" w:hAnsi="Arial" w:cs="Times New Roman"/>
      <w:caps/>
      <w:color w:val="00A9E0"/>
    </w:rPr>
  </w:style>
  <w:style w:type="character" w:customStyle="1" w:styleId="Heading7Char">
    <w:name w:val="Heading 7 Char"/>
    <w:aliases w:val="Heading Emphasis Char"/>
    <w:link w:val="Heading7"/>
    <w:uiPriority w:val="9"/>
    <w:rsid w:val="00B36391"/>
    <w:rPr>
      <w:rFonts w:ascii="Arial" w:eastAsia="MS Mincho" w:hAnsi="Arial" w:cs="Times New Roman"/>
      <w:i/>
      <w:iCs/>
      <w:color w:val="8E908F"/>
      <w:sz w:val="20"/>
    </w:rPr>
  </w:style>
  <w:style w:type="paragraph" w:styleId="Header">
    <w:name w:val="header"/>
    <w:basedOn w:val="Normal"/>
    <w:link w:val="HeaderChar"/>
    <w:uiPriority w:val="99"/>
    <w:unhideWhenUsed/>
    <w:rsid w:val="0016150F"/>
    <w:pPr>
      <w:tabs>
        <w:tab w:val="center" w:pos="4513"/>
        <w:tab w:val="left" w:pos="6663"/>
        <w:tab w:val="right" w:pos="9072"/>
      </w:tabs>
      <w:spacing w:after="0"/>
      <w:jc w:val="right"/>
    </w:pPr>
    <w:rPr>
      <w:color w:val="C4520A"/>
      <w:sz w:val="52"/>
      <w:szCs w:val="52"/>
    </w:rPr>
  </w:style>
  <w:style w:type="character" w:customStyle="1" w:styleId="HeaderChar">
    <w:name w:val="Header Char"/>
    <w:link w:val="Header"/>
    <w:uiPriority w:val="99"/>
    <w:rsid w:val="0016150F"/>
    <w:rPr>
      <w:color w:val="C4520A"/>
      <w:sz w:val="52"/>
      <w:szCs w:val="52"/>
    </w:rPr>
  </w:style>
  <w:style w:type="paragraph" w:styleId="Footer">
    <w:name w:val="footer"/>
    <w:basedOn w:val="Normal"/>
    <w:link w:val="FooterChar"/>
    <w:uiPriority w:val="99"/>
    <w:unhideWhenUsed/>
    <w:rsid w:val="0076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FA4"/>
  </w:style>
  <w:style w:type="paragraph" w:styleId="BalloonText">
    <w:name w:val="Balloon Text"/>
    <w:basedOn w:val="Normal"/>
    <w:link w:val="BalloonTextChar"/>
    <w:uiPriority w:val="99"/>
    <w:semiHidden/>
    <w:unhideWhenUsed/>
    <w:rsid w:val="00763F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3FA4"/>
    <w:rPr>
      <w:rFonts w:ascii="Tahoma" w:hAnsi="Tahoma" w:cs="Tahoma"/>
      <w:sz w:val="16"/>
      <w:szCs w:val="16"/>
    </w:rPr>
  </w:style>
  <w:style w:type="character" w:styleId="PlaceholderText">
    <w:name w:val="Placeholder Text"/>
    <w:uiPriority w:val="99"/>
    <w:semiHidden/>
    <w:rsid w:val="00763FA4"/>
    <w:rPr>
      <w:color w:val="808080"/>
    </w:rPr>
  </w:style>
  <w:style w:type="paragraph" w:styleId="Title">
    <w:name w:val="Title"/>
    <w:aliases w:val="Main Sub Title"/>
    <w:basedOn w:val="Normal"/>
    <w:next w:val="Normal"/>
    <w:link w:val="TitleChar"/>
    <w:autoRedefine/>
    <w:uiPriority w:val="10"/>
    <w:qFormat/>
    <w:rsid w:val="00422732"/>
    <w:pPr>
      <w:ind w:right="496"/>
      <w:jc w:val="right"/>
    </w:pPr>
    <w:rPr>
      <w:rFonts w:eastAsia="MS Mincho"/>
      <w:caps/>
      <w:color w:val="F45206"/>
      <w:spacing w:val="10"/>
      <w:kern w:val="28"/>
      <w:sz w:val="28"/>
      <w:szCs w:val="28"/>
      <w:lang w:val="en-US" w:bidi="en-US"/>
    </w:rPr>
  </w:style>
  <w:style w:type="character" w:customStyle="1" w:styleId="TitleChar">
    <w:name w:val="Title Char"/>
    <w:aliases w:val="Main Sub Title Char"/>
    <w:link w:val="Title"/>
    <w:uiPriority w:val="10"/>
    <w:rsid w:val="00422732"/>
    <w:rPr>
      <w:rFonts w:ascii="Arial" w:eastAsia="MS Mincho" w:hAnsi="Arial"/>
      <w:caps/>
      <w:color w:val="F45206"/>
      <w:spacing w:val="10"/>
      <w:kern w:val="28"/>
      <w:sz w:val="28"/>
      <w:szCs w:val="28"/>
      <w:lang w:val="en-US" w:bidi="en-US"/>
    </w:rPr>
  </w:style>
  <w:style w:type="paragraph" w:customStyle="1" w:styleId="N4header">
    <w:name w:val="N4_header"/>
    <w:basedOn w:val="Header"/>
    <w:link w:val="N4headerChar"/>
    <w:rsid w:val="00974F62"/>
    <w:rPr>
      <w:rFonts w:ascii="Trebuchet MS" w:hAnsi="Trebuchet MS"/>
      <w:b/>
      <w:color w:val="FFFFFF"/>
      <w:sz w:val="32"/>
    </w:rPr>
  </w:style>
  <w:style w:type="character" w:customStyle="1" w:styleId="N4headerChar">
    <w:name w:val="N4_header Char"/>
    <w:link w:val="N4header"/>
    <w:rsid w:val="00974F62"/>
    <w:rPr>
      <w:rFonts w:ascii="Trebuchet MS" w:hAnsi="Trebuchet MS"/>
      <w:b/>
      <w:color w:val="FFFFFF"/>
      <w:sz w:val="32"/>
      <w:szCs w:val="52"/>
    </w:rPr>
  </w:style>
  <w:style w:type="paragraph" w:customStyle="1" w:styleId="Style1">
    <w:name w:val="Style1"/>
    <w:basedOn w:val="Header"/>
    <w:link w:val="Style1Char"/>
    <w:autoRedefine/>
    <w:rsid w:val="00660D7D"/>
    <w:rPr>
      <w:rFonts w:ascii="Trebuchet MS" w:hAnsi="Trebuchet MS"/>
      <w:color w:val="FFFFFF"/>
      <w:sz w:val="28"/>
    </w:rPr>
  </w:style>
  <w:style w:type="character" w:customStyle="1" w:styleId="Style1Char">
    <w:name w:val="Style1 Char"/>
    <w:link w:val="Style1"/>
    <w:rsid w:val="00660D7D"/>
    <w:rPr>
      <w:rFonts w:ascii="Trebuchet MS" w:hAnsi="Trebuchet MS"/>
      <w:color w:val="FFFFFF"/>
      <w:sz w:val="28"/>
      <w:szCs w:val="52"/>
    </w:rPr>
  </w:style>
  <w:style w:type="paragraph" w:customStyle="1" w:styleId="N4Title">
    <w:name w:val="N4Title"/>
    <w:basedOn w:val="Header"/>
    <w:link w:val="N4TitleChar"/>
    <w:rsid w:val="00B36391"/>
    <w:rPr>
      <w:caps/>
      <w:color w:val="1E1E1E"/>
      <w:sz w:val="36"/>
      <w:szCs w:val="36"/>
    </w:rPr>
  </w:style>
  <w:style w:type="character" w:customStyle="1" w:styleId="N4TitleChar">
    <w:name w:val="N4Title Char"/>
    <w:link w:val="N4Title"/>
    <w:rsid w:val="00B36391"/>
    <w:rPr>
      <w:rFonts w:ascii="Arial" w:hAnsi="Arial"/>
      <w:caps/>
      <w:color w:val="1E1E1E"/>
      <w:sz w:val="36"/>
      <w:szCs w:val="36"/>
    </w:rPr>
  </w:style>
  <w:style w:type="paragraph" w:customStyle="1" w:styleId="MainTitle">
    <w:name w:val="Main Title"/>
    <w:basedOn w:val="N4Title"/>
    <w:qFormat/>
    <w:rsid w:val="00422732"/>
    <w:pPr>
      <w:tabs>
        <w:tab w:val="clear" w:pos="4513"/>
        <w:tab w:val="clear" w:pos="6663"/>
        <w:tab w:val="clear" w:pos="9072"/>
      </w:tabs>
      <w:ind w:right="543"/>
      <w:jc w:val="left"/>
    </w:pPr>
    <w:rPr>
      <w:sz w:val="40"/>
      <w:szCs w:val="40"/>
    </w:rPr>
  </w:style>
  <w:style w:type="character" w:styleId="SubtleEmphasis">
    <w:name w:val="Subtle Emphasis"/>
    <w:uiPriority w:val="19"/>
    <w:qFormat/>
    <w:rsid w:val="002D5240"/>
    <w:rPr>
      <w:rFonts w:ascii="Arial" w:hAnsi="Arial"/>
      <w:b w:val="0"/>
      <w:bCs w:val="0"/>
      <w:i w:val="0"/>
      <w:iCs w:val="0"/>
      <w:color w:val="8E908F"/>
      <w:sz w:val="20"/>
      <w:szCs w:val="20"/>
    </w:rPr>
  </w:style>
  <w:style w:type="paragraph" w:styleId="Subtitle">
    <w:name w:val="Subtitle"/>
    <w:basedOn w:val="NoSpacing"/>
    <w:next w:val="Normal"/>
    <w:link w:val="SubtitleChar"/>
    <w:uiPriority w:val="11"/>
    <w:rsid w:val="00BB249A"/>
    <w:pPr>
      <w:ind w:right="484"/>
      <w:jc w:val="right"/>
    </w:pPr>
  </w:style>
  <w:style w:type="paragraph" w:styleId="NoSpacing">
    <w:name w:val="No Spacing"/>
    <w:uiPriority w:val="1"/>
    <w:qFormat/>
    <w:rsid w:val="002D5240"/>
    <w:rPr>
      <w:rFonts w:ascii="Arial" w:hAnsi="Arial"/>
      <w:color w:val="1E1E1E"/>
    </w:rPr>
  </w:style>
  <w:style w:type="character" w:customStyle="1" w:styleId="SubtitleChar">
    <w:name w:val="Subtitle Char"/>
    <w:link w:val="Subtitle"/>
    <w:uiPriority w:val="11"/>
    <w:rsid w:val="00BB249A"/>
    <w:rPr>
      <w:color w:val="797979"/>
      <w:sz w:val="20"/>
    </w:rPr>
  </w:style>
  <w:style w:type="character" w:styleId="IntenseEmphasis">
    <w:name w:val="Intense Emphasis"/>
    <w:uiPriority w:val="21"/>
    <w:qFormat/>
    <w:rsid w:val="00FD5F6E"/>
    <w:rPr>
      <w:rFonts w:ascii="Arial" w:hAnsi="Arial"/>
      <w:b/>
      <w:bCs/>
      <w:i/>
      <w:iCs/>
      <w:color w:val="F45206"/>
      <w:sz w:val="20"/>
      <w:szCs w:val="20"/>
    </w:rPr>
  </w:style>
  <w:style w:type="character" w:styleId="Emphasis">
    <w:name w:val="Emphasis"/>
    <w:uiPriority w:val="20"/>
    <w:qFormat/>
    <w:rsid w:val="00FD5F6E"/>
    <w:rPr>
      <w:rFonts w:ascii="Arial" w:hAnsi="Arial"/>
      <w:b/>
      <w:bCs/>
      <w:i/>
      <w:iCs/>
      <w:color w:val="1E1E1E"/>
      <w:sz w:val="20"/>
      <w:szCs w:val="20"/>
    </w:rPr>
  </w:style>
  <w:style w:type="character" w:styleId="Strong">
    <w:name w:val="Strong"/>
    <w:uiPriority w:val="22"/>
    <w:qFormat/>
    <w:rsid w:val="00FD5F6E"/>
    <w:rPr>
      <w:rFonts w:ascii="Arial" w:hAnsi="Arial"/>
      <w:b/>
      <w:bCs/>
      <w:i w:val="0"/>
      <w:iCs w:val="0"/>
      <w:color w:val="1E1E1E"/>
      <w:sz w:val="20"/>
      <w:szCs w:val="20"/>
    </w:rPr>
  </w:style>
  <w:style w:type="paragraph" w:styleId="ListParagraph">
    <w:name w:val="List Paragraph"/>
    <w:basedOn w:val="Normal"/>
    <w:autoRedefine/>
    <w:uiPriority w:val="34"/>
    <w:qFormat/>
    <w:rsid w:val="00982CDC"/>
    <w:pPr>
      <w:numPr>
        <w:numId w:val="4"/>
      </w:numPr>
      <w:spacing w:after="100" w:afterAutospacing="1" w:line="240" w:lineRule="auto"/>
      <w:contextualSpacing/>
    </w:pPr>
  </w:style>
  <w:style w:type="paragraph" w:styleId="Quote">
    <w:name w:val="Quote"/>
    <w:basedOn w:val="Normal"/>
    <w:next w:val="Normal"/>
    <w:link w:val="QuoteChar"/>
    <w:uiPriority w:val="29"/>
    <w:qFormat/>
    <w:rsid w:val="00FD5F6E"/>
    <w:rPr>
      <w:i/>
      <w:iCs/>
      <w:color w:val="565A5C"/>
    </w:rPr>
  </w:style>
  <w:style w:type="character" w:customStyle="1" w:styleId="QuoteChar">
    <w:name w:val="Quote Char"/>
    <w:link w:val="Quote"/>
    <w:uiPriority w:val="29"/>
    <w:rsid w:val="00FD5F6E"/>
    <w:rPr>
      <w:rFonts w:ascii="Arial" w:hAnsi="Arial"/>
      <w:i/>
      <w:iCs/>
      <w:color w:val="565A5C"/>
      <w:sz w:val="20"/>
      <w:szCs w:val="20"/>
    </w:rPr>
  </w:style>
  <w:style w:type="character" w:styleId="Hyperlink">
    <w:name w:val="Hyperlink"/>
    <w:uiPriority w:val="99"/>
    <w:unhideWhenUsed/>
    <w:rsid w:val="00067346"/>
    <w:rPr>
      <w:color w:val="F37321"/>
      <w:u w:val="single"/>
    </w:rPr>
  </w:style>
  <w:style w:type="paragraph" w:customStyle="1" w:styleId="footnote">
    <w:name w:val="footnote"/>
    <w:basedOn w:val="Footer"/>
    <w:qFormat/>
    <w:rsid w:val="00B36391"/>
    <w:pPr>
      <w:jc w:val="center"/>
    </w:pPr>
    <w:rPr>
      <w:color w:val="A6A6A6"/>
      <w:sz w:val="14"/>
    </w:rPr>
  </w:style>
  <w:style w:type="paragraph" w:customStyle="1" w:styleId="Default">
    <w:name w:val="Default"/>
    <w:rsid w:val="0050180A"/>
    <w:pPr>
      <w:widowControl w:val="0"/>
      <w:autoSpaceDE w:val="0"/>
      <w:autoSpaceDN w:val="0"/>
      <w:adjustRightInd w:val="0"/>
    </w:pPr>
    <w:rPr>
      <w:rFonts w:cs="Trebuchet MS"/>
      <w:color w:val="000000"/>
      <w:sz w:val="24"/>
      <w:szCs w:val="24"/>
      <w:lang w:val="en-US"/>
    </w:rPr>
  </w:style>
  <w:style w:type="table" w:styleId="TableGrid">
    <w:name w:val="Table Grid"/>
    <w:basedOn w:val="TableNormal"/>
    <w:uiPriority w:val="39"/>
    <w:rsid w:val="00B8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81D63"/>
    <w:rPr>
      <w:color w:val="252525" w:themeColor="text1" w:themeShade="BF"/>
    </w:rPr>
    <w:tblPr>
      <w:tblStyleRowBandSize w:val="1"/>
      <w:tblStyleColBandSize w:val="1"/>
      <w:tblBorders>
        <w:top w:val="single" w:sz="8" w:space="0" w:color="323232" w:themeColor="text1"/>
        <w:bottom w:val="single" w:sz="8" w:space="0" w:color="323232" w:themeColor="text1"/>
      </w:tblBorders>
    </w:tblPr>
    <w:tblStylePr w:type="fir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la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ghtShading-Accent1">
    <w:name w:val="Light Shading Accent 1"/>
    <w:basedOn w:val="TableNormal"/>
    <w:uiPriority w:val="60"/>
    <w:rsid w:val="00B81D63"/>
    <w:rPr>
      <w:color w:val="C96E07" w:themeColor="accent1" w:themeShade="BF"/>
    </w:rPr>
    <w:tblPr>
      <w:tblStyleRowBandSize w:val="1"/>
      <w:tblStyleColBandSize w:val="1"/>
      <w:tblBorders>
        <w:top w:val="single" w:sz="8" w:space="0" w:color="F79220" w:themeColor="accent1"/>
        <w:bottom w:val="single" w:sz="8" w:space="0" w:color="F79220" w:themeColor="accent1"/>
      </w:tblBorders>
    </w:tblPr>
    <w:tblStylePr w:type="fir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la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C7" w:themeFill="accent1" w:themeFillTint="3F"/>
      </w:tcPr>
    </w:tblStylePr>
    <w:tblStylePr w:type="band1Horz">
      <w:tblPr/>
      <w:tcPr>
        <w:tcBorders>
          <w:left w:val="nil"/>
          <w:right w:val="nil"/>
          <w:insideH w:val="nil"/>
          <w:insideV w:val="nil"/>
        </w:tcBorders>
        <w:shd w:val="clear" w:color="auto" w:fill="FDE3C7" w:themeFill="accent1" w:themeFillTint="3F"/>
      </w:tcPr>
    </w:tblStylePr>
  </w:style>
  <w:style w:type="table" w:styleId="MediumShading2-Accent6">
    <w:name w:val="Medium Shading 2 Accent 6"/>
    <w:basedOn w:val="TableNormal"/>
    <w:uiPriority w:val="64"/>
    <w:rsid w:val="00B81D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22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220" w:themeFill="accent6"/>
      </w:tcPr>
    </w:tblStylePr>
    <w:tblStylePr w:type="lastCol">
      <w:rPr>
        <w:b/>
        <w:bCs/>
        <w:color w:val="FFFFFF" w:themeColor="background1"/>
      </w:rPr>
      <w:tblPr/>
      <w:tcPr>
        <w:tcBorders>
          <w:left w:val="nil"/>
          <w:right w:val="nil"/>
          <w:insideH w:val="nil"/>
          <w:insideV w:val="nil"/>
        </w:tcBorders>
        <w:shd w:val="clear" w:color="auto" w:fill="F7922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B81D63"/>
    <w:rPr>
      <w:color w:val="323232" w:themeColor="text1"/>
    </w:rPr>
    <w:tblPr>
      <w:tblStyleRowBandSize w:val="1"/>
      <w:tblStyleColBandSize w:val="1"/>
      <w:tblBorders>
        <w:top w:val="single" w:sz="8" w:space="0" w:color="323232" w:themeColor="text1"/>
        <w:bottom w:val="single" w:sz="8" w:space="0" w:color="323232" w:themeColor="text1"/>
      </w:tblBorders>
    </w:tblPr>
    <w:tblStylePr w:type="firstRow">
      <w:rPr>
        <w:rFonts w:asciiTheme="majorHAnsi" w:eastAsiaTheme="majorEastAsia" w:hAnsiTheme="majorHAnsi" w:cstheme="majorBidi"/>
      </w:rPr>
      <w:tblPr/>
      <w:tcPr>
        <w:tcBorders>
          <w:top w:val="nil"/>
          <w:bottom w:val="single" w:sz="8" w:space="0" w:color="323232" w:themeColor="text1"/>
        </w:tcBorders>
      </w:tcPr>
    </w:tblStylePr>
    <w:tblStylePr w:type="lastRow">
      <w:rPr>
        <w:b/>
        <w:bCs/>
        <w:color w:val="ADAFAF" w:themeColor="text2"/>
      </w:rPr>
      <w:tblPr/>
      <w:tcPr>
        <w:tcBorders>
          <w:top w:val="single" w:sz="8" w:space="0" w:color="323232" w:themeColor="text1"/>
          <w:bottom w:val="single" w:sz="8" w:space="0" w:color="323232" w:themeColor="text1"/>
        </w:tcBorders>
      </w:tcPr>
    </w:tblStylePr>
    <w:tblStylePr w:type="firstCol">
      <w:rPr>
        <w:b/>
        <w:bCs/>
      </w:rPr>
    </w:tblStylePr>
    <w:tblStylePr w:type="lastCol">
      <w:rPr>
        <w:b/>
        <w:bCs/>
      </w:rPr>
      <w:tblPr/>
      <w:tcPr>
        <w:tcBorders>
          <w:top w:val="single" w:sz="8" w:space="0" w:color="323232" w:themeColor="text1"/>
          <w:bottom w:val="single" w:sz="8" w:space="0" w:color="323232"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diumList1-Accent1">
    <w:name w:val="Medium List 1 Accent 1"/>
    <w:basedOn w:val="TableNormal"/>
    <w:uiPriority w:val="65"/>
    <w:rsid w:val="00B81D63"/>
    <w:rPr>
      <w:color w:val="323232" w:themeColor="text1"/>
    </w:rPr>
    <w:tblPr>
      <w:tblStyleRowBandSize w:val="1"/>
      <w:tblStyleColBandSize w:val="1"/>
      <w:tblBorders>
        <w:top w:val="single" w:sz="8" w:space="0" w:color="F79220" w:themeColor="accent1"/>
        <w:bottom w:val="single" w:sz="8" w:space="0" w:color="F79220" w:themeColor="accent1"/>
      </w:tblBorders>
    </w:tblPr>
    <w:tblStylePr w:type="firstRow">
      <w:rPr>
        <w:rFonts w:asciiTheme="majorHAnsi" w:eastAsiaTheme="majorEastAsia" w:hAnsiTheme="majorHAnsi" w:cstheme="majorBidi"/>
      </w:rPr>
      <w:tblPr/>
      <w:tcPr>
        <w:tcBorders>
          <w:top w:val="nil"/>
          <w:bottom w:val="single" w:sz="8" w:space="0" w:color="F79220" w:themeColor="accent1"/>
        </w:tcBorders>
      </w:tcPr>
    </w:tblStylePr>
    <w:tblStylePr w:type="lastRow">
      <w:rPr>
        <w:b/>
        <w:bCs/>
        <w:color w:val="ADAFAF" w:themeColor="text2"/>
      </w:rPr>
      <w:tblPr/>
      <w:tcPr>
        <w:tcBorders>
          <w:top w:val="single" w:sz="8" w:space="0" w:color="F79220" w:themeColor="accent1"/>
          <w:bottom w:val="single" w:sz="8" w:space="0" w:color="F79220" w:themeColor="accent1"/>
        </w:tcBorders>
      </w:tcPr>
    </w:tblStylePr>
    <w:tblStylePr w:type="firstCol">
      <w:rPr>
        <w:b/>
        <w:bCs/>
      </w:rPr>
    </w:tblStylePr>
    <w:tblStylePr w:type="lastCol">
      <w:rPr>
        <w:b/>
        <w:bCs/>
      </w:rPr>
      <w:tblPr/>
      <w:tcPr>
        <w:tcBorders>
          <w:top w:val="single" w:sz="8" w:space="0" w:color="F79220" w:themeColor="accent1"/>
          <w:bottom w:val="single" w:sz="8" w:space="0" w:color="F79220" w:themeColor="accent1"/>
        </w:tcBorders>
      </w:tcPr>
    </w:tblStylePr>
    <w:tblStylePr w:type="band1Vert">
      <w:tblPr/>
      <w:tcPr>
        <w:shd w:val="clear" w:color="auto" w:fill="FDE3C7" w:themeFill="accent1" w:themeFillTint="3F"/>
      </w:tcPr>
    </w:tblStylePr>
    <w:tblStylePr w:type="band1Horz">
      <w:tblPr/>
      <w:tcPr>
        <w:shd w:val="clear" w:color="auto" w:fill="FDE3C7" w:themeFill="accent1" w:themeFillTint="3F"/>
      </w:tcPr>
    </w:tblStylePr>
  </w:style>
  <w:style w:type="table" w:styleId="MediumGrid3-Accent1">
    <w:name w:val="Medium Grid 3 Accent 1"/>
    <w:basedOn w:val="TableNormal"/>
    <w:uiPriority w:val="69"/>
    <w:rsid w:val="00B81D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2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2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8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88F" w:themeFill="accent1" w:themeFillTint="7F"/>
      </w:tcPr>
    </w:tblStylePr>
  </w:style>
  <w:style w:type="table" w:styleId="ColorfulList-Accent1">
    <w:name w:val="Colorful List Accent 1"/>
    <w:basedOn w:val="TableNormal"/>
    <w:uiPriority w:val="72"/>
    <w:rsid w:val="00B81D63"/>
    <w:rPr>
      <w:color w:val="323232" w:themeColor="text1"/>
    </w:rPr>
    <w:tblPr>
      <w:tblStyleRowBandSize w:val="1"/>
      <w:tblStyleColBandSize w:val="1"/>
    </w:tblPr>
    <w:tcPr>
      <w:shd w:val="clear" w:color="auto" w:fill="FEF4E9" w:themeFill="accent1" w:themeFillTint="19"/>
    </w:tcPr>
    <w:tblStylePr w:type="firstRow">
      <w:rPr>
        <w:b/>
        <w:bCs/>
        <w:color w:val="FFFFFF" w:themeColor="background1"/>
      </w:rPr>
      <w:tblPr/>
      <w:tcPr>
        <w:tcBorders>
          <w:bottom w:val="single" w:sz="12" w:space="0" w:color="FFFFFF" w:themeColor="background1"/>
        </w:tcBorders>
        <w:shd w:val="clear" w:color="auto" w:fill="CB1743" w:themeFill="accent2" w:themeFillShade="CC"/>
      </w:tcPr>
    </w:tblStylePr>
    <w:tblStylePr w:type="lastRow">
      <w:rPr>
        <w:b/>
        <w:bCs/>
        <w:color w:val="CB1743" w:themeColor="accent2" w:themeShade="CC"/>
      </w:rPr>
      <w:tblPr/>
      <w:tcPr>
        <w:tcBorders>
          <w:top w:val="single" w:sz="12" w:space="0" w:color="32323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C7" w:themeFill="accent1" w:themeFillTint="3F"/>
      </w:tcPr>
    </w:tblStylePr>
    <w:tblStylePr w:type="band1Horz">
      <w:tblPr/>
      <w:tcPr>
        <w:shd w:val="clear" w:color="auto" w:fill="FDE9D2" w:themeFill="accent1" w:themeFillTint="33"/>
      </w:tcPr>
    </w:tblStylePr>
  </w:style>
  <w:style w:type="table" w:styleId="TableContemporary">
    <w:name w:val="Table Contemporary"/>
    <w:basedOn w:val="TableNormal"/>
    <w:rsid w:val="00600920"/>
    <w:pPr>
      <w:jc w:val="both"/>
    </w:pPr>
    <w:rPr>
      <w:rFonts w:ascii="Times New Roman" w:eastAsia="Times New Roman" w:hAnsi="Times New Roman"/>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ertxt">
    <w:name w:val="Footer txt"/>
    <w:basedOn w:val="DefaultParagraphFont"/>
    <w:uiPriority w:val="1"/>
    <w:rsid w:val="003D0307"/>
    <w:rPr>
      <w:rFonts w:ascii="Arial" w:hAnsi="Arial"/>
      <w:color w:val="8E908F"/>
      <w:sz w:val="18"/>
    </w:rPr>
  </w:style>
  <w:style w:type="paragraph" w:styleId="Caption">
    <w:name w:val="caption"/>
    <w:basedOn w:val="Normal"/>
    <w:next w:val="Normal"/>
    <w:uiPriority w:val="35"/>
    <w:unhideWhenUsed/>
    <w:qFormat/>
    <w:rsid w:val="0027312C"/>
    <w:pPr>
      <w:spacing w:line="240" w:lineRule="auto"/>
    </w:pPr>
    <w:rPr>
      <w:i/>
      <w:iCs/>
      <w:color w:val="ADAFAF" w:themeColor="text2"/>
      <w:sz w:val="18"/>
      <w:szCs w:val="18"/>
    </w:rPr>
  </w:style>
  <w:style w:type="paragraph" w:styleId="CommentText">
    <w:name w:val="annotation text"/>
    <w:basedOn w:val="Normal"/>
    <w:link w:val="CommentTextChar"/>
    <w:uiPriority w:val="99"/>
    <w:semiHidden/>
    <w:unhideWhenUsed/>
    <w:rsid w:val="00DD320F"/>
    <w:pPr>
      <w:spacing w:line="240" w:lineRule="auto"/>
    </w:pPr>
    <w:rPr>
      <w:sz w:val="24"/>
      <w:szCs w:val="24"/>
    </w:rPr>
  </w:style>
  <w:style w:type="character" w:customStyle="1" w:styleId="CommentTextChar">
    <w:name w:val="Comment Text Char"/>
    <w:basedOn w:val="DefaultParagraphFont"/>
    <w:link w:val="CommentText"/>
    <w:uiPriority w:val="99"/>
    <w:semiHidden/>
    <w:rsid w:val="00DD320F"/>
    <w:rPr>
      <w:rFonts w:ascii="Arial" w:hAnsi="Arial"/>
      <w:color w:val="1E1E1E"/>
      <w:sz w:val="24"/>
      <w:szCs w:val="24"/>
    </w:rPr>
  </w:style>
  <w:style w:type="character" w:customStyle="1" w:styleId="CommentSubjectChar">
    <w:name w:val="Comment Subject Char"/>
    <w:basedOn w:val="CommentTextChar"/>
    <w:link w:val="CommentSubject"/>
    <w:uiPriority w:val="99"/>
    <w:semiHidden/>
    <w:rsid w:val="00DD320F"/>
    <w:rPr>
      <w:rFonts w:ascii="Arial" w:hAnsi="Arial"/>
      <w:b/>
      <w:bCs/>
      <w:color w:val="1E1E1E"/>
      <w:sz w:val="24"/>
      <w:szCs w:val="24"/>
    </w:rPr>
  </w:style>
  <w:style w:type="paragraph" w:styleId="CommentSubject">
    <w:name w:val="annotation subject"/>
    <w:basedOn w:val="CommentText"/>
    <w:next w:val="CommentText"/>
    <w:link w:val="CommentSubjectChar"/>
    <w:uiPriority w:val="99"/>
    <w:semiHidden/>
    <w:unhideWhenUsed/>
    <w:rsid w:val="00DD320F"/>
    <w:rPr>
      <w:b/>
      <w:bCs/>
      <w:sz w:val="20"/>
      <w:szCs w:val="20"/>
    </w:rPr>
  </w:style>
  <w:style w:type="character" w:styleId="CommentReference">
    <w:name w:val="annotation reference"/>
    <w:basedOn w:val="DefaultParagraphFont"/>
    <w:uiPriority w:val="99"/>
    <w:semiHidden/>
    <w:unhideWhenUsed/>
    <w:rsid w:val="005F2C2E"/>
    <w:rPr>
      <w:sz w:val="18"/>
      <w:szCs w:val="18"/>
    </w:rPr>
  </w:style>
  <w:style w:type="paragraph" w:customStyle="1" w:styleId="Numberedbodytext">
    <w:name w:val="Numbered body text"/>
    <w:basedOn w:val="Normal"/>
    <w:autoRedefine/>
    <w:qFormat/>
    <w:rsid w:val="003A648E"/>
    <w:pPr>
      <w:numPr>
        <w:ilvl w:val="2"/>
        <w:numId w:val="37"/>
      </w:numPr>
      <w:tabs>
        <w:tab w:val="left" w:pos="0"/>
      </w:tabs>
      <w:spacing w:after="80"/>
      <w:jc w:val="left"/>
    </w:pPr>
    <w:rPr>
      <w:sz w:val="16"/>
    </w:rPr>
  </w:style>
  <w:style w:type="paragraph" w:customStyle="1" w:styleId="Level3numbered">
    <w:name w:val="Level 3 numbered"/>
    <w:basedOn w:val="Numberedbodytext"/>
    <w:link w:val="Level3numberedChar"/>
    <w:qFormat/>
    <w:rsid w:val="003A648E"/>
    <w:rPr>
      <w:b/>
      <w:caps/>
      <w:color w:val="989898" w:themeColor="text1" w:themeTint="80"/>
      <w:sz w:val="24"/>
    </w:rPr>
  </w:style>
  <w:style w:type="character" w:customStyle="1" w:styleId="Level3numberedChar">
    <w:name w:val="Level 3 numbered Char"/>
    <w:basedOn w:val="DefaultParagraphFont"/>
    <w:link w:val="Level3numbered"/>
    <w:rsid w:val="003A648E"/>
    <w:rPr>
      <w:rFonts w:ascii="Arial" w:hAnsi="Arial"/>
      <w:b/>
      <w:caps/>
      <w:color w:val="989898" w:themeColor="text1" w:themeTint="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627">
      <w:bodyDiv w:val="1"/>
      <w:marLeft w:val="0"/>
      <w:marRight w:val="0"/>
      <w:marTop w:val="0"/>
      <w:marBottom w:val="0"/>
      <w:divBdr>
        <w:top w:val="none" w:sz="0" w:space="0" w:color="auto"/>
        <w:left w:val="none" w:sz="0" w:space="0" w:color="auto"/>
        <w:bottom w:val="none" w:sz="0" w:space="0" w:color="auto"/>
        <w:right w:val="none" w:sz="0" w:space="0" w:color="auto"/>
      </w:divBdr>
    </w:div>
    <w:div w:id="242878919">
      <w:bodyDiv w:val="1"/>
      <w:marLeft w:val="0"/>
      <w:marRight w:val="0"/>
      <w:marTop w:val="0"/>
      <w:marBottom w:val="0"/>
      <w:divBdr>
        <w:top w:val="none" w:sz="0" w:space="0" w:color="auto"/>
        <w:left w:val="none" w:sz="0" w:space="0" w:color="auto"/>
        <w:bottom w:val="none" w:sz="0" w:space="0" w:color="auto"/>
        <w:right w:val="none" w:sz="0" w:space="0" w:color="auto"/>
      </w:divBdr>
    </w:div>
    <w:div w:id="803347277">
      <w:bodyDiv w:val="1"/>
      <w:marLeft w:val="0"/>
      <w:marRight w:val="0"/>
      <w:marTop w:val="0"/>
      <w:marBottom w:val="0"/>
      <w:divBdr>
        <w:top w:val="none" w:sz="0" w:space="0" w:color="auto"/>
        <w:left w:val="none" w:sz="0" w:space="0" w:color="auto"/>
        <w:bottom w:val="none" w:sz="0" w:space="0" w:color="auto"/>
        <w:right w:val="none" w:sz="0" w:space="0" w:color="auto"/>
      </w:divBdr>
    </w:div>
    <w:div w:id="988901098">
      <w:bodyDiv w:val="1"/>
      <w:marLeft w:val="0"/>
      <w:marRight w:val="0"/>
      <w:marTop w:val="0"/>
      <w:marBottom w:val="0"/>
      <w:divBdr>
        <w:top w:val="none" w:sz="0" w:space="0" w:color="auto"/>
        <w:left w:val="none" w:sz="0" w:space="0" w:color="auto"/>
        <w:bottom w:val="none" w:sz="0" w:space="0" w:color="auto"/>
        <w:right w:val="none" w:sz="0" w:space="0" w:color="auto"/>
      </w:divBdr>
    </w:div>
    <w:div w:id="120536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00D643C283324FBBF4CDCD169D1C89"/>
        <w:category>
          <w:name w:val="General"/>
          <w:gallery w:val="placeholder"/>
        </w:category>
        <w:types>
          <w:type w:val="bbPlcHdr"/>
        </w:types>
        <w:behaviors>
          <w:behavior w:val="content"/>
        </w:behaviors>
        <w:guid w:val="{615DF56A-DEDE-EF4B-9C20-9BFEC3FF0DF7}"/>
      </w:docPartPr>
      <w:docPartBody>
        <w:p w:rsidR="00F724B9" w:rsidRDefault="00F724B9" w:rsidP="00F724B9">
          <w:pPr>
            <w:pStyle w:val="3C00D643C283324FBBF4CDCD169D1C89"/>
          </w:pPr>
          <w:r w:rsidRPr="00A050CA">
            <w:rPr>
              <w:rStyle w:val="PlaceholderText"/>
            </w:rPr>
            <w:t>[Title]</w:t>
          </w:r>
        </w:p>
      </w:docPartBody>
    </w:docPart>
    <w:docPart>
      <w:docPartPr>
        <w:name w:val="6C054F4347B3CC45849FF3316CA2A3F9"/>
        <w:category>
          <w:name w:val="General"/>
          <w:gallery w:val="placeholder"/>
        </w:category>
        <w:types>
          <w:type w:val="bbPlcHdr"/>
        </w:types>
        <w:behaviors>
          <w:behavior w:val="content"/>
        </w:behaviors>
        <w:guid w:val="{24B37339-BEA0-F646-B25B-886B27DDABF6}"/>
      </w:docPartPr>
      <w:docPartBody>
        <w:p w:rsidR="00F724B9" w:rsidRDefault="00F724B9" w:rsidP="00F724B9">
          <w:pPr>
            <w:pStyle w:val="6C054F4347B3CC45849FF3316CA2A3F9"/>
          </w:pPr>
          <w:r w:rsidRPr="00A050CA">
            <w:rPr>
              <w:rStyle w:val="PlaceholderText"/>
            </w:rPr>
            <w:t>[Subject]</w:t>
          </w:r>
        </w:p>
      </w:docPartBody>
    </w:docPart>
    <w:docPart>
      <w:docPartPr>
        <w:name w:val="50427EA1CB3D4A8D99CDDA77AE5C2155"/>
        <w:category>
          <w:name w:val="General"/>
          <w:gallery w:val="placeholder"/>
        </w:category>
        <w:types>
          <w:type w:val="bbPlcHdr"/>
        </w:types>
        <w:behaviors>
          <w:behavior w:val="content"/>
        </w:behaviors>
        <w:guid w:val="{001D6C59-969B-4A65-ACB6-7167BC2D6746}"/>
      </w:docPartPr>
      <w:docPartBody>
        <w:p w:rsidR="00F06089" w:rsidRDefault="00841D31" w:rsidP="00841D31">
          <w:pPr>
            <w:pStyle w:val="50427EA1CB3D4A8D99CDDA77AE5C2155"/>
          </w:pPr>
          <w:r w:rsidRPr="00A050CA">
            <w:rPr>
              <w:rStyle w:val="PlaceholderText"/>
            </w:rPr>
            <w:t>[Title]</w:t>
          </w:r>
        </w:p>
      </w:docPartBody>
    </w:docPart>
    <w:docPart>
      <w:docPartPr>
        <w:name w:val="C3FE86D5B5754E4B8C26B5E0BE22EB98"/>
        <w:category>
          <w:name w:val="General"/>
          <w:gallery w:val="placeholder"/>
        </w:category>
        <w:types>
          <w:type w:val="bbPlcHdr"/>
        </w:types>
        <w:behaviors>
          <w:behavior w:val="content"/>
        </w:behaviors>
        <w:guid w:val="{BD930396-4CFB-4B4B-8495-2A95CEBA75D9}"/>
      </w:docPartPr>
      <w:docPartBody>
        <w:p w:rsidR="00F06089" w:rsidRDefault="00841D31" w:rsidP="00841D31">
          <w:pPr>
            <w:pStyle w:val="C3FE86D5B5754E4B8C26B5E0BE22EB98"/>
          </w:pPr>
          <w:r w:rsidRPr="00BA33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B9"/>
    <w:rsid w:val="0000669E"/>
    <w:rsid w:val="000E0A90"/>
    <w:rsid w:val="0010192B"/>
    <w:rsid w:val="00334432"/>
    <w:rsid w:val="003E59FD"/>
    <w:rsid w:val="005452A0"/>
    <w:rsid w:val="005B2B97"/>
    <w:rsid w:val="005F0431"/>
    <w:rsid w:val="00696A96"/>
    <w:rsid w:val="006F10E0"/>
    <w:rsid w:val="00722F26"/>
    <w:rsid w:val="0078585B"/>
    <w:rsid w:val="007B54ED"/>
    <w:rsid w:val="00806338"/>
    <w:rsid w:val="00813036"/>
    <w:rsid w:val="00841D31"/>
    <w:rsid w:val="008E3376"/>
    <w:rsid w:val="009133BD"/>
    <w:rsid w:val="00944D2B"/>
    <w:rsid w:val="009C43D0"/>
    <w:rsid w:val="00A02BF8"/>
    <w:rsid w:val="00A41E6A"/>
    <w:rsid w:val="00BA4D88"/>
    <w:rsid w:val="00BF46B4"/>
    <w:rsid w:val="00C35C4B"/>
    <w:rsid w:val="00C731DC"/>
    <w:rsid w:val="00C81B49"/>
    <w:rsid w:val="00CF172E"/>
    <w:rsid w:val="00DE4A05"/>
    <w:rsid w:val="00EC22CB"/>
    <w:rsid w:val="00F06089"/>
    <w:rsid w:val="00F233D0"/>
    <w:rsid w:val="00F724B9"/>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1D31"/>
    <w:rPr>
      <w:color w:val="808080"/>
    </w:rPr>
  </w:style>
  <w:style w:type="paragraph" w:customStyle="1" w:styleId="811C4A6AB6E77246BF9FF27EEBB25827">
    <w:name w:val="811C4A6AB6E77246BF9FF27EEBB25827"/>
  </w:style>
  <w:style w:type="paragraph" w:customStyle="1" w:styleId="E9DFA9CF8398E2459B50511A2D399AF0">
    <w:name w:val="E9DFA9CF8398E2459B50511A2D399AF0"/>
  </w:style>
  <w:style w:type="paragraph" w:customStyle="1" w:styleId="E88F2B6C1B4EE9439619B8FB4814C113">
    <w:name w:val="E88F2B6C1B4EE9439619B8FB4814C113"/>
  </w:style>
  <w:style w:type="paragraph" w:customStyle="1" w:styleId="A31ECE069FE8A5498B275B7E98447152">
    <w:name w:val="A31ECE069FE8A5498B275B7E98447152"/>
  </w:style>
  <w:style w:type="paragraph" w:customStyle="1" w:styleId="48665A62D686304D96EA6F9B342556F7">
    <w:name w:val="48665A62D686304D96EA6F9B342556F7"/>
  </w:style>
  <w:style w:type="paragraph" w:customStyle="1" w:styleId="92F3879245E18842A45B5F2229E79430">
    <w:name w:val="92F3879245E18842A45B5F2229E79430"/>
  </w:style>
  <w:style w:type="paragraph" w:customStyle="1" w:styleId="53C352BB3189964BB26A287BA2740FA3">
    <w:name w:val="53C352BB3189964BB26A287BA2740FA3"/>
  </w:style>
  <w:style w:type="paragraph" w:customStyle="1" w:styleId="3C00D643C283324FBBF4CDCD169D1C89">
    <w:name w:val="3C00D643C283324FBBF4CDCD169D1C89"/>
    <w:rsid w:val="00F724B9"/>
  </w:style>
  <w:style w:type="paragraph" w:customStyle="1" w:styleId="6C054F4347B3CC45849FF3316CA2A3F9">
    <w:name w:val="6C054F4347B3CC45849FF3316CA2A3F9"/>
    <w:rsid w:val="00F724B9"/>
  </w:style>
  <w:style w:type="paragraph" w:customStyle="1" w:styleId="DD6603AC80398D418AB54287D183F57F">
    <w:name w:val="DD6603AC80398D418AB54287D183F57F"/>
    <w:rsid w:val="00F724B9"/>
  </w:style>
  <w:style w:type="paragraph" w:customStyle="1" w:styleId="15A222B0C4E08D4D88BD068E9821BAE2">
    <w:name w:val="15A222B0C4E08D4D88BD068E9821BAE2"/>
    <w:rsid w:val="00F724B9"/>
  </w:style>
  <w:style w:type="paragraph" w:customStyle="1" w:styleId="3C741A683F4BF44386F70FF6B84D5A32">
    <w:name w:val="3C741A683F4BF44386F70FF6B84D5A32"/>
    <w:rsid w:val="00F724B9"/>
  </w:style>
  <w:style w:type="paragraph" w:customStyle="1" w:styleId="96ECCCC2DED1AD4EB47F2597BEF66681">
    <w:name w:val="96ECCCC2DED1AD4EB47F2597BEF66681"/>
    <w:rsid w:val="00F724B9"/>
  </w:style>
  <w:style w:type="paragraph" w:customStyle="1" w:styleId="046A54F7430D4FD1957E52D7D342CC5C">
    <w:name w:val="046A54F7430D4FD1957E52D7D342CC5C"/>
    <w:rsid w:val="00841D31"/>
    <w:pPr>
      <w:spacing w:after="160" w:line="259" w:lineRule="auto"/>
    </w:pPr>
    <w:rPr>
      <w:sz w:val="22"/>
      <w:szCs w:val="22"/>
      <w:lang w:val="en-GB" w:eastAsia="en-GB"/>
    </w:rPr>
  </w:style>
  <w:style w:type="paragraph" w:customStyle="1" w:styleId="50427EA1CB3D4A8D99CDDA77AE5C2155">
    <w:name w:val="50427EA1CB3D4A8D99CDDA77AE5C2155"/>
    <w:rsid w:val="00841D31"/>
    <w:pPr>
      <w:spacing w:after="160" w:line="259" w:lineRule="auto"/>
    </w:pPr>
    <w:rPr>
      <w:sz w:val="22"/>
      <w:szCs w:val="22"/>
      <w:lang w:val="en-GB" w:eastAsia="en-GB"/>
    </w:rPr>
  </w:style>
  <w:style w:type="paragraph" w:customStyle="1" w:styleId="C3FE86D5B5754E4B8C26B5E0BE22EB98">
    <w:name w:val="C3FE86D5B5754E4B8C26B5E0BE22EB98"/>
    <w:rsid w:val="00841D31"/>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Custom 11">
      <a:dk1>
        <a:srgbClr val="323232"/>
      </a:dk1>
      <a:lt1>
        <a:sysClr val="window" lastClr="FFFFFF"/>
      </a:lt1>
      <a:dk2>
        <a:srgbClr val="ADAFAF"/>
      </a:dk2>
      <a:lt2>
        <a:srgbClr val="EEECE1"/>
      </a:lt2>
      <a:accent1>
        <a:srgbClr val="F79220"/>
      </a:accent1>
      <a:accent2>
        <a:srgbClr val="E83460"/>
      </a:accent2>
      <a:accent3>
        <a:srgbClr val="9E8CC2"/>
      </a:accent3>
      <a:accent4>
        <a:srgbClr val="0288D1"/>
      </a:accent4>
      <a:accent5>
        <a:srgbClr val="00B6A5"/>
      </a:accent5>
      <a:accent6>
        <a:srgbClr val="F79220"/>
      </a:accent6>
      <a:hlink>
        <a:srgbClr val="F79220"/>
      </a:hlink>
      <a:folHlink>
        <a:srgbClr val="E8346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2018-10-11T00:00:00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89E2DED1B38B4BB88FD97126A2B45B" ma:contentTypeVersion="6" ma:contentTypeDescription="Create a new document." ma:contentTypeScope="" ma:versionID="b745304ce58c0136bc4db6620f547312">
  <xsd:schema xmlns:xsd="http://www.w3.org/2001/XMLSchema" xmlns:xs="http://www.w3.org/2001/XMLSchema" xmlns:p="http://schemas.microsoft.com/office/2006/metadata/properties" xmlns:ns2="7fe8fd24-7d93-4bcd-b7ce-a7318fdba429" xmlns:ns3="http://schemas.microsoft.com/sharepoint/v3/fields" targetNamespace="http://schemas.microsoft.com/office/2006/metadata/properties" ma:root="true" ma:fieldsID="dbbae68d26dc80469accde09b3dec3e9" ns2:_="" ns3:_="">
    <xsd:import namespace="7fe8fd24-7d93-4bcd-b7ce-a7318fdba429"/>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8fd24-7d93-4bcd-b7ce-a7318fdba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Status Not Set" ma:format="Dropdown" ma:internalName="_Status">
      <xsd:simpleType>
        <xsd:union memberTypes="dms:Text">
          <xsd:simpleType>
            <xsd:restriction base="dms:Choice">
              <xsd:enumeration value="Status Not Set"/>
              <xsd:enumeration value="Not Started"/>
              <xsd:enumeration value="Draft"/>
              <xsd:enumeration value="Final Draft"/>
              <xsd:enumeration value="Active"/>
              <xsd:enumeration value="Review Required"/>
              <xsd:enumeration value="Reviewed"/>
              <xsd:enumeration value="Archiv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root xmlns="Security Type">
  <Security name="Highly Confidential">Public</Security>
  <Security name="Confidential"/>
  <Security name="Internal Use only"/>
  <Security name="Confidential"/>
</root>
</file>

<file path=customXml/item5.xml><?xml version="1.0" encoding="utf-8"?>
<root>
</root>
</file>

<file path=customXml/item6.xml><root xmlns="Document Category">
  <Type name="Technical">Report</Type>
  <Type name="White"/>
  <Type name="Manual"/>
  <Type name="Report"/>
</root>
</file>

<file path=customXml/item7.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documentManagement>
</p:properties>
</file>

<file path=customXml/item8.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1FFA1B-3B75-47BF-B1F3-15A93492B3DA}">
  <ds:schemaRefs>
    <ds:schemaRef ds:uri="http://schemas.microsoft.com/sharepoint/v3/contenttype/forms"/>
  </ds:schemaRefs>
</ds:datastoreItem>
</file>

<file path=customXml/itemProps3.xml><?xml version="1.0" encoding="utf-8"?>
<ds:datastoreItem xmlns:ds="http://schemas.openxmlformats.org/officeDocument/2006/customXml" ds:itemID="{2E31E603-7307-49B9-8A74-CB30C9191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8fd24-7d93-4bcd-b7ce-a7318fdba42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260BB-1140-42BD-B14A-DF7052E49D72}">
  <ds:schemaRefs>
    <ds:schemaRef ds:uri="Security Type"/>
  </ds:schemaRefs>
</ds:datastoreItem>
</file>

<file path=customXml/itemProps5.xml><?xml version="1.0" encoding="utf-8"?>
<ds:datastoreItem xmlns:ds="http://schemas.openxmlformats.org/officeDocument/2006/customXml" ds:itemID="{526B576B-DEB9-4B76-979D-257E86ABCAAB}">
  <ds:schemaRefs/>
</ds:datastoreItem>
</file>

<file path=customXml/itemProps6.xml><?xml version="1.0" encoding="utf-8"?>
<ds:datastoreItem xmlns:ds="http://schemas.openxmlformats.org/officeDocument/2006/customXml" ds:itemID="{A87D58F3-D782-4C0F-A953-9EC005021CBF}">
  <ds:schemaRefs>
    <ds:schemaRef ds:uri="Document Category"/>
  </ds:schemaRefs>
</ds:datastoreItem>
</file>

<file path=customXml/itemProps7.xml><?xml version="1.0" encoding="utf-8"?>
<ds:datastoreItem xmlns:ds="http://schemas.openxmlformats.org/officeDocument/2006/customXml" ds:itemID="{B5E28B12-6E65-44C9-B47B-305618ED430F}">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sharepoint/v3/fields"/>
    <ds:schemaRef ds:uri="http://purl.org/dc/dcmitype/"/>
    <ds:schemaRef ds:uri="7fe8fd24-7d93-4bcd-b7ce-a7318fdba429"/>
    <ds:schemaRef ds:uri="http://schemas.microsoft.com/office/2006/metadata/properties"/>
    <ds:schemaRef ds:uri="http://www.w3.org/XML/1998/namespace"/>
  </ds:schemaRefs>
</ds:datastoreItem>
</file>

<file path=customXml/itemProps8.xml><?xml version="1.0" encoding="utf-8"?>
<ds:datastoreItem xmlns:ds="http://schemas.openxmlformats.org/officeDocument/2006/customXml" ds:itemID="{178329E0-77B5-42AA-B539-466F74AE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Schedule document</vt:lpstr>
    </vt:vector>
  </TitlesOfParts>
  <Company>Node4 limited</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document</dc:title>
  <dc:subject>Managed desktop service</dc:subject>
  <dc:creator>Dominic Kerr-Delworth</dc:creator>
  <cp:keywords/>
  <dc:description/>
  <cp:lastModifiedBy>Andy Cresswell</cp:lastModifiedBy>
  <cp:revision>5</cp:revision>
  <cp:lastPrinted>2016-04-22T07:49:00Z</cp:lastPrinted>
  <dcterms:created xsi:type="dcterms:W3CDTF">2018-11-08T11:09:00Z</dcterms:created>
  <dcterms:modified xsi:type="dcterms:W3CDTF">2018-11-08T11:23:00Z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ada75488-298e-4798-8b0d-33e13366789e</vt:lpwstr>
  </property>
  <property fmtid="{D5CDD505-2E9C-101B-9397-08002B2CF9AE}" pid="3" name="ContentTypeId">
    <vt:lpwstr>0x0101002389E2DED1B38B4BB88FD97126A2B45B</vt:lpwstr>
  </property>
</Properties>
</file>